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8529B" w14:textId="77777777" w:rsidR="00C848BE" w:rsidRDefault="00C848BE">
      <w:pPr>
        <w:rPr>
          <w:rFonts w:cs="Calibri"/>
          <w:b/>
          <w:sz w:val="22"/>
          <w:szCs w:val="24"/>
        </w:rPr>
      </w:pPr>
      <w:r>
        <w:rPr>
          <w:b/>
          <w:sz w:val="22"/>
          <w:szCs w:val="24"/>
        </w:rPr>
        <w:t>List of called in applications for the week ending 24.11.2025</w:t>
      </w:r>
    </w:p>
    <w:p w14:paraId="1595EB30" w14:textId="77777777" w:rsidR="00C848BE" w:rsidRDefault="00C848BE">
      <w:pPr>
        <w:rPr>
          <w:sz w:val="22"/>
          <w:szCs w:val="24"/>
        </w:rPr>
      </w:pPr>
    </w:p>
    <w:p w14:paraId="336C530D" w14:textId="77777777" w:rsidR="00C848BE" w:rsidRDefault="00C848BE">
      <w:pPr>
        <w:rPr>
          <w:rFonts w:cs="Calibri"/>
          <w:sz w:val="22"/>
          <w:szCs w:val="24"/>
        </w:rPr>
      </w:pPr>
    </w:p>
    <w:p w14:paraId="5DBADF8E" w14:textId="77777777" w:rsidR="00C848BE" w:rsidRDefault="00C848BE">
      <w:pPr>
        <w:rPr>
          <w:rFonts w:cs="Calibri"/>
          <w:b/>
          <w:sz w:val="22"/>
          <w:szCs w:val="24"/>
          <w:u w:val="single"/>
        </w:rPr>
      </w:pPr>
      <w:r>
        <w:rPr>
          <w:b/>
          <w:sz w:val="22"/>
          <w:szCs w:val="24"/>
          <w:u w:val="single"/>
        </w:rPr>
        <w:t>SDNP/25/04504/FUL</w:t>
      </w:r>
    </w:p>
    <w:p w14:paraId="651F2F83" w14:textId="77777777" w:rsidR="00C848BE" w:rsidRDefault="00C848BE">
      <w:pPr>
        <w:rPr>
          <w:sz w:val="22"/>
          <w:szCs w:val="24"/>
        </w:rPr>
      </w:pPr>
    </w:p>
    <w:p w14:paraId="786EA820" w14:textId="77777777" w:rsidR="00C848BE" w:rsidRDefault="00C848BE">
      <w:pPr>
        <w:rPr>
          <w:sz w:val="22"/>
          <w:szCs w:val="24"/>
        </w:rPr>
      </w:pPr>
      <w:r>
        <w:rPr>
          <w:rFonts w:cs="Calibri"/>
          <w:sz w:val="22"/>
          <w:szCs w:val="24"/>
        </w:rPr>
        <w:t>Creation of car park with associated soft landscaping scheme</w:t>
      </w:r>
    </w:p>
    <w:p w14:paraId="4834D746" w14:textId="77777777" w:rsidR="00C848BE" w:rsidRDefault="00C848BE">
      <w:pPr>
        <w:rPr>
          <w:sz w:val="22"/>
          <w:szCs w:val="24"/>
        </w:rPr>
      </w:pPr>
      <w:r>
        <w:rPr>
          <w:rFonts w:cs="Calibri"/>
          <w:sz w:val="22"/>
          <w:szCs w:val="24"/>
        </w:rPr>
        <w:t xml:space="preserve">At  </w:t>
      </w:r>
    </w:p>
    <w:p w14:paraId="2E3377D1" w14:textId="77777777" w:rsidR="00C848BE" w:rsidRDefault="00C848BE">
      <w:pPr>
        <w:rPr>
          <w:sz w:val="22"/>
          <w:szCs w:val="24"/>
        </w:rPr>
      </w:pPr>
      <w:r>
        <w:rPr>
          <w:rFonts w:cs="Calibri"/>
          <w:sz w:val="22"/>
          <w:szCs w:val="24"/>
        </w:rPr>
        <w:t xml:space="preserve">Land South of A272, </w:t>
      </w:r>
      <w:proofErr w:type="spellStart"/>
      <w:r>
        <w:rPr>
          <w:rFonts w:cs="Calibri"/>
          <w:sz w:val="22"/>
          <w:szCs w:val="24"/>
        </w:rPr>
        <w:t>Easebourne</w:t>
      </w:r>
      <w:proofErr w:type="spellEnd"/>
      <w:r>
        <w:rPr>
          <w:rFonts w:cs="Calibri"/>
          <w:sz w:val="22"/>
          <w:szCs w:val="24"/>
        </w:rPr>
        <w:t xml:space="preserve"> Lane, </w:t>
      </w:r>
      <w:proofErr w:type="spellStart"/>
      <w:r>
        <w:rPr>
          <w:rFonts w:cs="Calibri"/>
          <w:sz w:val="22"/>
          <w:szCs w:val="24"/>
        </w:rPr>
        <w:t>Easebourne</w:t>
      </w:r>
      <w:proofErr w:type="spellEnd"/>
      <w:r>
        <w:rPr>
          <w:rFonts w:cs="Calibri"/>
          <w:sz w:val="22"/>
          <w:szCs w:val="24"/>
        </w:rPr>
        <w:t xml:space="preserve">, West Sussex, </w:t>
      </w:r>
    </w:p>
    <w:p w14:paraId="0788492C" w14:textId="77777777" w:rsidR="00C848BE" w:rsidRDefault="00C848BE">
      <w:pPr>
        <w:rPr>
          <w:rFonts w:cs="Calibri"/>
          <w:sz w:val="22"/>
          <w:szCs w:val="24"/>
        </w:rPr>
      </w:pPr>
    </w:p>
    <w:p w14:paraId="126BD1F6" w14:textId="77777777" w:rsidR="00C848BE" w:rsidRDefault="00C848BE">
      <w:pPr>
        <w:rPr>
          <w:sz w:val="22"/>
          <w:szCs w:val="24"/>
        </w:rPr>
      </w:pPr>
      <w:r>
        <w:rPr>
          <w:b/>
          <w:sz w:val="22"/>
          <w:szCs w:val="24"/>
        </w:rPr>
        <w:t>Validation Date:</w:t>
      </w:r>
      <w:r>
        <w:rPr>
          <w:rFonts w:cs="Calibri"/>
          <w:sz w:val="22"/>
          <w:szCs w:val="24"/>
        </w:rPr>
        <w:t xml:space="preserve">  </w:t>
      </w:r>
      <w:r>
        <w:rPr>
          <w:sz w:val="22"/>
          <w:szCs w:val="24"/>
        </w:rPr>
        <w:t>17 November 2025</w:t>
      </w:r>
      <w:r>
        <w:rPr>
          <w:rFonts w:cs="Calibri"/>
          <w:sz w:val="22"/>
          <w:szCs w:val="24"/>
        </w:rPr>
        <w:tab/>
      </w:r>
      <w:r>
        <w:rPr>
          <w:b/>
          <w:sz w:val="22"/>
          <w:szCs w:val="24"/>
        </w:rPr>
        <w:t>Date of Direction:</w:t>
      </w:r>
      <w:r>
        <w:rPr>
          <w:rFonts w:cs="Calibri"/>
          <w:sz w:val="22"/>
          <w:szCs w:val="24"/>
        </w:rPr>
        <w:t xml:space="preserve"> </w:t>
      </w:r>
      <w:r>
        <w:rPr>
          <w:sz w:val="22"/>
          <w:szCs w:val="24"/>
        </w:rPr>
        <w:t xml:space="preserve"> </w:t>
      </w:r>
      <w:r>
        <w:rPr>
          <w:rFonts w:cs="Calibri"/>
          <w:sz w:val="22"/>
          <w:szCs w:val="24"/>
        </w:rPr>
        <w:t>7 November 2025</w:t>
      </w:r>
    </w:p>
    <w:p w14:paraId="4D628DF4" w14:textId="77777777" w:rsidR="00C848BE" w:rsidRDefault="00C848BE">
      <w:pPr>
        <w:rPr>
          <w:rFonts w:cs="Calibri"/>
          <w:sz w:val="22"/>
          <w:szCs w:val="24"/>
        </w:rPr>
      </w:pPr>
    </w:p>
    <w:p w14:paraId="58EC9D56" w14:textId="77777777" w:rsidR="00C848BE" w:rsidRDefault="00C848BE">
      <w:pPr>
        <w:rPr>
          <w:b/>
          <w:sz w:val="22"/>
          <w:szCs w:val="24"/>
        </w:rPr>
      </w:pPr>
      <w:r>
        <w:rPr>
          <w:b/>
          <w:sz w:val="22"/>
          <w:szCs w:val="24"/>
        </w:rPr>
        <w:t>Reason for the Direction</w:t>
      </w:r>
      <w:r>
        <w:rPr>
          <w:rFonts w:cs="Calibri"/>
          <w:b/>
          <w:sz w:val="22"/>
          <w:szCs w:val="24"/>
        </w:rPr>
        <w:t>:</w:t>
      </w:r>
    </w:p>
    <w:p w14:paraId="085CC1F7" w14:textId="77777777" w:rsidR="00C848BE" w:rsidRDefault="00C848BE">
      <w:pPr>
        <w:rPr>
          <w:sz w:val="22"/>
          <w:szCs w:val="24"/>
        </w:rPr>
      </w:pPr>
      <w:r>
        <w:rPr>
          <w:rFonts w:cs="Calibri"/>
          <w:sz w:val="22"/>
          <w:szCs w:val="24"/>
        </w:rPr>
        <w:t>The proposal seeks construction of a car park and landscaping works within Grade II* registered parkland. The proposal therefore has the potential to have a significant impact upon the natural beauty and cultural heritage of the South Downs National Park and upon opportunities for the public understanding and enjoyment of the South Downs National Park, the two purposes of designation.</w:t>
      </w:r>
    </w:p>
    <w:p w14:paraId="6989CC69" w14:textId="77777777" w:rsidR="00C848BE" w:rsidRDefault="00C848BE">
      <w:pPr>
        <w:rPr>
          <w:rFonts w:cs="Calibri"/>
          <w:sz w:val="22"/>
          <w:szCs w:val="24"/>
        </w:rPr>
      </w:pPr>
    </w:p>
    <w:p w14:paraId="6673D460" w14:textId="77777777" w:rsidR="00C848BE" w:rsidRDefault="00C848BE">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"https://planningpublicaccess.southdowns.gov.uk/online-applications/applicationDetails.do?activeTab=summary&amp;keyVal=T5AR8ETUFWB00"</w:instrText>
      </w:r>
      <w:r>
        <w:rPr>
          <w:sz w:val="22"/>
          <w:szCs w:val="24"/>
        </w:rPr>
      </w:r>
      <w:r>
        <w:rPr>
          <w:sz w:val="22"/>
          <w:szCs w:val="24"/>
        </w:rPr>
        <w:fldChar w:fldCharType="separate"/>
      </w:r>
      <w:r>
        <w:rPr>
          <w:rStyle w:val="Hyperlink"/>
          <w:rFonts w:ascii="Gill Sans MT" w:hAnsi="Gill Sans MT" w:cs="Calibri"/>
          <w:szCs w:val="24"/>
        </w:rPr>
        <w:t>View the case on public access</w:t>
      </w:r>
    </w:p>
    <w:p w14:paraId="04A746DD" w14:textId="77777777" w:rsidR="00C848BE" w:rsidRDefault="00C848BE">
      <w:pPr>
        <w:rPr>
          <w:rFonts w:cs="Calibri"/>
          <w:sz w:val="22"/>
          <w:szCs w:val="24"/>
        </w:rPr>
      </w:pPr>
      <w:r>
        <w:rPr>
          <w:sz w:val="22"/>
          <w:szCs w:val="24"/>
        </w:rPr>
        <w:fldChar w:fldCharType="end"/>
      </w:r>
    </w:p>
    <w:p w14:paraId="2056338D" w14:textId="77777777" w:rsidR="00C848BE" w:rsidRDefault="00C848BE">
      <w:pPr>
        <w:rPr>
          <w:sz w:val="22"/>
          <w:szCs w:val="24"/>
        </w:rPr>
      </w:pPr>
    </w:p>
    <w:p w14:paraId="26046298" w14:textId="77777777" w:rsidR="00C848BE" w:rsidRDefault="00C848BE">
      <w:pPr>
        <w:rPr>
          <w:b/>
          <w:sz w:val="22"/>
          <w:szCs w:val="24"/>
          <w:u w:val="single"/>
        </w:rPr>
      </w:pPr>
      <w:r>
        <w:rPr>
          <w:rFonts w:cs="Calibri"/>
          <w:b/>
          <w:sz w:val="22"/>
          <w:szCs w:val="24"/>
          <w:u w:val="single"/>
        </w:rPr>
        <w:t>SDNP/25/04662/DCOND</w:t>
      </w:r>
    </w:p>
    <w:p w14:paraId="114727CE" w14:textId="77777777" w:rsidR="00C848BE" w:rsidRDefault="00C848BE">
      <w:pPr>
        <w:rPr>
          <w:rFonts w:cs="Calibri"/>
          <w:sz w:val="22"/>
          <w:szCs w:val="24"/>
        </w:rPr>
      </w:pPr>
    </w:p>
    <w:p w14:paraId="71CEC15B" w14:textId="77777777" w:rsidR="00C848BE" w:rsidRDefault="00C848BE">
      <w:pPr>
        <w:rPr>
          <w:rFonts w:cs="Calibri"/>
          <w:sz w:val="22"/>
          <w:szCs w:val="24"/>
        </w:rPr>
      </w:pPr>
      <w:r>
        <w:rPr>
          <w:sz w:val="22"/>
          <w:szCs w:val="24"/>
        </w:rPr>
        <w:t>Discharge of Condition 5 (Landscaping), 9(Surface Water Drainage), 10 (Foul Water), 14 (External Lighting) and 17 (Highways details) for SDNP/23/03638/FUL.</w:t>
      </w:r>
    </w:p>
    <w:p w14:paraId="23DCB0C1" w14:textId="77777777" w:rsidR="00C848BE" w:rsidRDefault="00C848BE">
      <w:pPr>
        <w:rPr>
          <w:rFonts w:cs="Calibri"/>
          <w:sz w:val="22"/>
          <w:szCs w:val="24"/>
        </w:rPr>
      </w:pPr>
      <w:r>
        <w:rPr>
          <w:sz w:val="22"/>
          <w:szCs w:val="24"/>
        </w:rPr>
        <w:t xml:space="preserve">At  </w:t>
      </w:r>
    </w:p>
    <w:p w14:paraId="647596C8" w14:textId="77777777" w:rsidR="00C848BE" w:rsidRDefault="00C848BE">
      <w:pPr>
        <w:rPr>
          <w:rFonts w:cs="Calibri"/>
          <w:sz w:val="22"/>
          <w:szCs w:val="24"/>
        </w:rPr>
      </w:pPr>
      <w:r>
        <w:rPr>
          <w:sz w:val="22"/>
          <w:szCs w:val="24"/>
        </w:rPr>
        <w:t xml:space="preserve">Land to </w:t>
      </w:r>
      <w:proofErr w:type="gramStart"/>
      <w:r>
        <w:rPr>
          <w:sz w:val="22"/>
          <w:szCs w:val="24"/>
        </w:rPr>
        <w:t>The</w:t>
      </w:r>
      <w:proofErr w:type="gramEnd"/>
      <w:r>
        <w:rPr>
          <w:sz w:val="22"/>
          <w:szCs w:val="24"/>
        </w:rPr>
        <w:t xml:space="preserve"> rear 143A to 217, The Causeway, Petersfield, Hampshire, </w:t>
      </w:r>
    </w:p>
    <w:p w14:paraId="0E26591E" w14:textId="77777777" w:rsidR="00C848BE" w:rsidRDefault="00C848BE">
      <w:pPr>
        <w:rPr>
          <w:sz w:val="22"/>
          <w:szCs w:val="24"/>
        </w:rPr>
      </w:pPr>
    </w:p>
    <w:p w14:paraId="70357AEF" w14:textId="77777777" w:rsidR="00C848BE" w:rsidRDefault="00C848BE">
      <w:pPr>
        <w:rPr>
          <w:rFonts w:cs="Calibri"/>
          <w:sz w:val="22"/>
          <w:szCs w:val="24"/>
        </w:rPr>
      </w:pPr>
      <w:r>
        <w:rPr>
          <w:rFonts w:cs="Calibri"/>
          <w:b/>
          <w:sz w:val="22"/>
          <w:szCs w:val="24"/>
        </w:rPr>
        <w:t>Validation Date:</w:t>
      </w:r>
      <w:r>
        <w:rPr>
          <w:sz w:val="22"/>
          <w:szCs w:val="24"/>
        </w:rPr>
        <w:t xml:space="preserve">  </w:t>
      </w:r>
      <w:r>
        <w:rPr>
          <w:rFonts w:cs="Calibri"/>
          <w:sz w:val="22"/>
          <w:szCs w:val="24"/>
        </w:rPr>
        <w:t>20 November 2025</w:t>
      </w:r>
      <w:r>
        <w:rPr>
          <w:sz w:val="22"/>
          <w:szCs w:val="24"/>
        </w:rPr>
        <w:tab/>
      </w:r>
      <w:r>
        <w:rPr>
          <w:rFonts w:cs="Calibri"/>
          <w:b/>
          <w:sz w:val="22"/>
          <w:szCs w:val="24"/>
        </w:rPr>
        <w:t>Date of Direction:</w:t>
      </w:r>
      <w:r>
        <w:rPr>
          <w:sz w:val="22"/>
          <w:szCs w:val="24"/>
        </w:rPr>
        <w:t xml:space="preserve"> </w:t>
      </w:r>
      <w:r>
        <w:rPr>
          <w:rFonts w:cs="Calibri"/>
          <w:sz w:val="22"/>
          <w:szCs w:val="24"/>
        </w:rPr>
        <w:t xml:space="preserve"> </w:t>
      </w:r>
      <w:r>
        <w:rPr>
          <w:sz w:val="22"/>
          <w:szCs w:val="24"/>
        </w:rPr>
        <w:t xml:space="preserve">No call in required. </w:t>
      </w:r>
    </w:p>
    <w:p w14:paraId="4EBA1504" w14:textId="77777777" w:rsidR="00C848BE" w:rsidRDefault="00C848BE">
      <w:pPr>
        <w:rPr>
          <w:sz w:val="22"/>
          <w:szCs w:val="24"/>
        </w:rPr>
      </w:pPr>
    </w:p>
    <w:p w14:paraId="53C50D66" w14:textId="77777777" w:rsidR="00C848BE" w:rsidRDefault="00C848BE">
      <w:pPr>
        <w:rPr>
          <w:rFonts w:cs="Calibri"/>
          <w:b/>
          <w:sz w:val="22"/>
          <w:szCs w:val="24"/>
        </w:rPr>
      </w:pPr>
      <w:r>
        <w:rPr>
          <w:rFonts w:cs="Calibri"/>
          <w:b/>
          <w:sz w:val="22"/>
          <w:szCs w:val="24"/>
        </w:rPr>
        <w:t>Reason for the Direction</w:t>
      </w:r>
      <w:r>
        <w:rPr>
          <w:b/>
          <w:sz w:val="22"/>
          <w:szCs w:val="24"/>
        </w:rPr>
        <w:t>:</w:t>
      </w:r>
    </w:p>
    <w:p w14:paraId="499FDED1" w14:textId="77777777" w:rsidR="00C848BE" w:rsidRDefault="00C848BE">
      <w:pPr>
        <w:rPr>
          <w:sz w:val="22"/>
          <w:szCs w:val="24"/>
        </w:rPr>
      </w:pPr>
    </w:p>
    <w:p w14:paraId="1533CCD3" w14:textId="77777777" w:rsidR="00C848BE" w:rsidRDefault="00C848BE">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"https://planningpublicaccess.southdowns.gov.uk/online-applications/applicationDetails.do?activeTab=summary&amp;keyVal=T5Z0RVTUG7E00"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7F456668" w14:textId="77777777" w:rsidR="00C848BE" w:rsidRDefault="00C848BE">
      <w:pPr>
        <w:rPr>
          <w:sz w:val="22"/>
          <w:szCs w:val="24"/>
        </w:rPr>
      </w:pPr>
      <w:r>
        <w:rPr>
          <w:rFonts w:cs="Calibri"/>
          <w:sz w:val="22"/>
          <w:szCs w:val="24"/>
        </w:rPr>
        <w:fldChar w:fldCharType="end"/>
      </w:r>
    </w:p>
    <w:p w14:paraId="2476A6FC" w14:textId="77777777" w:rsidR="00C848BE" w:rsidRDefault="00C848BE">
      <w:pPr>
        <w:rPr>
          <w:rFonts w:cs="Calibri"/>
          <w:sz w:val="22"/>
          <w:szCs w:val="24"/>
        </w:rPr>
      </w:pPr>
    </w:p>
    <w:p w14:paraId="76F0C71E" w14:textId="77777777" w:rsidR="00C848BE" w:rsidRDefault="00C848BE">
      <w:pPr>
        <w:rPr>
          <w:sz w:val="22"/>
          <w:szCs w:val="24"/>
        </w:rPr>
      </w:pPr>
    </w:p>
    <w:sectPr w:rsidR="00C848BE">
      <w:footerReference w:type="first" r:id="rId6"/>
      <w:pgSz w:w="11906" w:h="16838"/>
      <w:pgMar w:top="647" w:right="1016" w:bottom="360" w:left="1017"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FD8E6" w14:textId="77777777" w:rsidR="00C848BE" w:rsidRDefault="00C848BE">
      <w:r>
        <w:separator/>
      </w:r>
    </w:p>
  </w:endnote>
  <w:endnote w:type="continuationSeparator" w:id="0">
    <w:p w14:paraId="3B1C5FD9" w14:textId="77777777" w:rsidR="00C848BE" w:rsidRDefault="00C84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05410" w14:textId="77777777" w:rsidR="00C848BE" w:rsidRDefault="00C848BE">
    <w:pPr>
      <w:pStyle w:val="Footer"/>
      <w:rPr>
        <w:rFonts w:cs="Calibri"/>
        <w:sz w:val="16"/>
        <w:szCs w:val="24"/>
      </w:rPr>
    </w:pPr>
    <w:r>
      <w:rPr>
        <w:sz w:val="16"/>
        <w:szCs w:val="24"/>
      </w:rPr>
      <w:t>CIWEB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241AD" w14:textId="77777777" w:rsidR="00C848BE" w:rsidRDefault="00C848BE">
      <w:r>
        <w:separator/>
      </w:r>
    </w:p>
  </w:footnote>
  <w:footnote w:type="continuationSeparator" w:id="0">
    <w:p w14:paraId="640EF4B5" w14:textId="77777777" w:rsidR="00C848BE" w:rsidRDefault="00C848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8BE"/>
    <w:rsid w:val="00254389"/>
    <w:rsid w:val="00572517"/>
    <w:rsid w:val="00670492"/>
    <w:rsid w:val="00C848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D48E61"/>
  <w14:defaultImageDpi w14:val="0"/>
  <w15:docId w15:val="{B6AFFBEA-EC0C-4200-A7C3-1D026E084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Gill Sans MT" w:hAnsi="Gill Sans MT" w:cs="Gill Sans MT"/>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Cs w:val="16"/>
    </w:rPr>
  </w:style>
  <w:style w:type="character" w:customStyle="1" w:styleId="BalloonTextChar">
    <w:name w:val="Balloon Text Char"/>
    <w:basedOn w:val="DefaultParagraphFont"/>
    <w:link w:val="BalloonText"/>
    <w:uiPriority w:val="99"/>
    <w:rPr>
      <w:rFonts w:ascii="Tahoma" w:hAnsi="Tahoma" w:cs="Tahoma"/>
      <w:szCs w:val="16"/>
    </w:rPr>
  </w:style>
  <w:style w:type="paragraph" w:styleId="PlainText">
    <w:name w:val="Plain Text"/>
    <w:basedOn w:val="Normal"/>
    <w:link w:val="PlainTextChar"/>
    <w:uiPriority w:val="99"/>
    <w:rPr>
      <w:rFonts w:ascii="Courier New" w:hAnsi="Courier New" w:cs="Courier New"/>
      <w:szCs w:val="20"/>
    </w:rPr>
  </w:style>
  <w:style w:type="character" w:customStyle="1" w:styleId="PlainTextChar">
    <w:name w:val="Plain Text Char"/>
    <w:basedOn w:val="DefaultParagraphFont"/>
    <w:link w:val="PlainText"/>
    <w:uiPriority w:val="99"/>
    <w:rPr>
      <w:rFonts w:ascii="Courier New" w:hAnsi="Courier New" w:cs="Courier New"/>
      <w:szCs w:val="20"/>
    </w:rPr>
  </w:style>
  <w:style w:type="paragraph" w:customStyle="1" w:styleId="Normal0">
    <w:name w:val="[Normal]"/>
    <w:basedOn w:val="Normal"/>
    <w:uiPriority w:val="99"/>
    <w:rPr>
      <w:rFonts w:ascii="Arial" w:hAnsi="Arial" w:cs="Arial"/>
      <w:szCs w:val="24"/>
    </w:rPr>
  </w:style>
  <w:style w:type="paragraph" w:styleId="NormalWeb">
    <w:name w:val="Normal (Web)"/>
    <w:basedOn w:val="Normal"/>
    <w:uiPriority w:val="99"/>
    <w:rPr>
      <w:rFonts w:ascii="Verdana" w:hAnsi="Verdana" w:cs="Verdana"/>
      <w:color w:val="000000"/>
      <w:szCs w:val="19"/>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rPr>
      <w:rFonts w:ascii="Times New Roman" w:hAnsi="Times New Roman" w:cs="Times New Roman"/>
      <w:szCs w:val="20"/>
    </w:rPr>
  </w:style>
  <w:style w:type="paragraph" w:customStyle="1" w:styleId="Tabletext">
    <w:name w:val="Table text"/>
    <w:basedOn w:val="Normal"/>
    <w:next w:val="Header"/>
    <w:uiPriority w:val="99"/>
    <w:pPr>
      <w:suppressAutoHyphens/>
      <w:spacing w:before="60" w:after="60" w:line="240" w:lineRule="atLeast"/>
    </w:pPr>
    <w:rPr>
      <w:rFonts w:ascii="Arial" w:hAnsi="Arial" w:cs="Arial"/>
      <w:szCs w:val="20"/>
    </w:rPr>
  </w:style>
  <w:style w:type="paragraph" w:styleId="BodyText">
    <w:name w:val="Body Text"/>
    <w:basedOn w:val="Normal"/>
    <w:next w:val="Tabletext"/>
    <w:link w:val="BodyTextChar"/>
    <w:uiPriority w:val="99"/>
    <w:pPr>
      <w:spacing w:after="120"/>
    </w:pPr>
  </w:style>
  <w:style w:type="character" w:customStyle="1" w:styleId="BodyTextChar">
    <w:name w:val="Body Text Char"/>
    <w:basedOn w:val="DefaultParagraphFont"/>
    <w:link w:val="BodyText"/>
    <w:uiPriority w:val="99"/>
    <w:rPr>
      <w:rFonts w:ascii="Gill Sans MT" w:hAnsi="Gill Sans MT" w:cs="Gill Sans MT"/>
      <w:lang w:val="en-US" w:eastAsia="en-US"/>
    </w:rPr>
  </w:style>
  <w:style w:type="paragraph" w:styleId="CommentSubject">
    <w:name w:val="annotation subject"/>
    <w:basedOn w:val="CommentText"/>
    <w:next w:val="CommentText"/>
    <w:link w:val="CommentSubjectChar"/>
    <w:uiPriority w:val="99"/>
    <w:rPr>
      <w:bCs/>
    </w:rPr>
  </w:style>
  <w:style w:type="character" w:customStyle="1" w:styleId="CommentSubjectChar">
    <w:name w:val="Comment Subject Char"/>
    <w:basedOn w:val="CommentTextChar"/>
    <w:link w:val="CommentSubject"/>
    <w:uiPriority w:val="99"/>
    <w:rPr>
      <w:rFonts w:ascii="Times New Roman" w:hAnsi="Times New Roman" w:cs="Times New Roman"/>
      <w:bCs/>
      <w:szCs w:val="20"/>
    </w:rPr>
  </w:style>
  <w:style w:type="character" w:styleId="LineNumber">
    <w:name w:val="line number"/>
    <w:basedOn w:val="DefaultParagraphFont"/>
    <w:uiPriority w:val="99"/>
    <w:rPr>
      <w:rFonts w:cs="Times New Roman"/>
      <w:szCs w:val="22"/>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Cs w:val="16"/>
    </w:rPr>
  </w:style>
  <w:style w:type="table" w:styleId="TableSimple1">
    <w:name w:val="Table Simple 1"/>
    <w:basedOn w:val="TableNormal"/>
    <w:uiPriority w:val="99"/>
    <w:pPr>
      <w:widowControl w:val="0"/>
      <w:autoSpaceDE w:val="0"/>
      <w:autoSpaceDN w:val="0"/>
      <w:adjustRightInd w:val="0"/>
      <w:spacing w:after="0"/>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rFonts w:ascii="Arial" w:hAnsi="Arial" w:cs="Arial"/>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932</Characters>
  <Application>Microsoft Office Word</Application>
  <DocSecurity>0</DocSecurity>
  <Lines>34</Lines>
  <Paragraphs>16</Paragraphs>
  <ScaleCrop>false</ScaleCrop>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xsdnpacl</dc:creator>
  <cp:keywords/>
  <dc:description/>
  <cp:lastModifiedBy>Russell Pilfold</cp:lastModifiedBy>
  <cp:revision>2</cp:revision>
  <cp:lastPrinted>2011-05-06T08:56:00Z</cp:lastPrinted>
  <dcterms:created xsi:type="dcterms:W3CDTF">2025-11-25T09:49:00Z</dcterms:created>
  <dcterms:modified xsi:type="dcterms:W3CDTF">2025-11-25T09:49:00Z</dcterms:modified>
</cp:coreProperties>
</file>