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8D7" w14:textId="77777777" w:rsidR="00000000" w:rsidRDefault="00000000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01.09.2025</w:t>
      </w:r>
    </w:p>
    <w:p w14:paraId="5E4D484B" w14:textId="77777777" w:rsidR="00000000" w:rsidRDefault="00000000">
      <w:pPr>
        <w:rPr>
          <w:sz w:val="22"/>
          <w:szCs w:val="24"/>
        </w:rPr>
      </w:pPr>
    </w:p>
    <w:p w14:paraId="55DB5D6E" w14:textId="77777777" w:rsidR="00000000" w:rsidRDefault="00000000">
      <w:pPr>
        <w:rPr>
          <w:rFonts w:cs="Calibri"/>
          <w:sz w:val="22"/>
          <w:szCs w:val="24"/>
        </w:rPr>
      </w:pPr>
    </w:p>
    <w:p w14:paraId="5B9C2C49" w14:textId="77777777" w:rsidR="00000000" w:rsidRDefault="00000000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SDNP/25/03160/FUL</w:t>
      </w:r>
    </w:p>
    <w:p w14:paraId="115BD8DE" w14:textId="77777777" w:rsidR="00000000" w:rsidRDefault="00000000">
      <w:pPr>
        <w:rPr>
          <w:sz w:val="22"/>
          <w:szCs w:val="24"/>
        </w:rPr>
      </w:pPr>
    </w:p>
    <w:p w14:paraId="0B9B8927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Restoration and regeneration of Lavington Stud and Estate with a new environmental farming and management regime supported by development proposals on two sites comprising: Home Farm: main stud stables area and office. Demolition of C20th stable ranges and barns and the construction of a new principal Estate dwelling with pool and tennis court; renovation and alteration and change of use of traditional courtyard buildings to form 7 no. self-contained holiday lets, offices and a multifunctional space for education, Estate meeting room, and ancillary residential and tourist visitor use; retention of other buildings as existing stables and storage; and </w:t>
      </w:r>
      <w:proofErr w:type="spellStart"/>
      <w:r>
        <w:rPr>
          <w:rFonts w:cs="Calibri"/>
          <w:sz w:val="22"/>
          <w:szCs w:val="24"/>
        </w:rPr>
        <w:t>Calloways</w:t>
      </w:r>
      <w:proofErr w:type="spellEnd"/>
      <w:r>
        <w:rPr>
          <w:rFonts w:cs="Calibri"/>
          <w:sz w:val="22"/>
          <w:szCs w:val="24"/>
        </w:rPr>
        <w:t xml:space="preserve"> (alternative to implemented scheme SDNP/18/00938/FUL): Renovation and alteration of existing buildings to facilitate a change of use to form 5 no. dwellings; demolition of existing bungalow and replacement with one dwelling; renovation, alteration and change of use of existing equestrian buildings to enterprise units within Use Class E(g). Retention of the existing portal framed barn for agricultural storage.</w:t>
      </w:r>
    </w:p>
    <w:p w14:paraId="68E9621A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C655D7B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The Lavington </w:t>
      </w:r>
      <w:proofErr w:type="gramStart"/>
      <w:r>
        <w:rPr>
          <w:rFonts w:cs="Calibri"/>
          <w:sz w:val="22"/>
          <w:szCs w:val="24"/>
        </w:rPr>
        <w:t>Stud ,</w:t>
      </w:r>
      <w:proofErr w:type="gramEnd"/>
      <w:r>
        <w:rPr>
          <w:rFonts w:cs="Calibri"/>
          <w:sz w:val="22"/>
          <w:szCs w:val="24"/>
        </w:rPr>
        <w:t xml:space="preserve"> The Drive, East Lavington, West Sussex, GU28 0NQ</w:t>
      </w:r>
    </w:p>
    <w:p w14:paraId="37C00FF3" w14:textId="77777777" w:rsidR="00000000" w:rsidRDefault="00000000">
      <w:pPr>
        <w:rPr>
          <w:rFonts w:cs="Calibri"/>
          <w:sz w:val="22"/>
          <w:szCs w:val="24"/>
        </w:rPr>
      </w:pPr>
    </w:p>
    <w:p w14:paraId="5E30B611" w14:textId="77777777" w:rsidR="00000000" w:rsidRDefault="00000000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26 August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5 August 2025</w:t>
      </w:r>
    </w:p>
    <w:p w14:paraId="0DC58D62" w14:textId="77777777" w:rsidR="00000000" w:rsidRDefault="00000000">
      <w:pPr>
        <w:rPr>
          <w:rFonts w:cs="Calibri"/>
          <w:sz w:val="22"/>
          <w:szCs w:val="24"/>
        </w:rPr>
      </w:pPr>
    </w:p>
    <w:p w14:paraId="6ECDAEF5" w14:textId="77777777" w:rsidR="00000000" w:rsidRDefault="00000000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3BDDC58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This application is significant in its own right </w:t>
      </w:r>
      <w:proofErr w:type="gramStart"/>
      <w:r>
        <w:rPr>
          <w:rFonts w:cs="Calibri"/>
          <w:sz w:val="22"/>
          <w:szCs w:val="24"/>
        </w:rPr>
        <w:t>and also</w:t>
      </w:r>
      <w:proofErr w:type="gramEnd"/>
      <w:r>
        <w:rPr>
          <w:rFonts w:cs="Calibri"/>
          <w:sz w:val="22"/>
          <w:szCs w:val="24"/>
        </w:rPr>
        <w:t xml:space="preserve"> follows on from cases that have previously been called in by the SDNPA (SDNP/18/00938/FUL, SDNP/22/01451/PRE). The SDNPA will therefore also handle this case in-house for reasons of consistency.</w:t>
      </w:r>
    </w:p>
    <w:p w14:paraId="05BB192E" w14:textId="77777777" w:rsidR="00000000" w:rsidRDefault="00000000">
      <w:pPr>
        <w:rPr>
          <w:rFonts w:cs="Calibri"/>
          <w:sz w:val="22"/>
          <w:szCs w:val="24"/>
        </w:rPr>
      </w:pPr>
    </w:p>
    <w:p w14:paraId="75C19AD4" w14:textId="77777777" w:rsidR="00000000" w:rsidRDefault="00000000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"https://planningpublicaccess.southdowns.gov.uk/online-applications/applicationDetails.do?activeTab=summary&amp;keyVal=T09VJ9TUL2900"</w:instrText>
      </w:r>
      <w:r w:rsidR="00477299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F5D9BCC" w14:textId="77777777" w:rsidR="00000000" w:rsidRDefault="00000000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652EA06C" w14:textId="77777777" w:rsidR="00000000" w:rsidRDefault="00000000">
      <w:pPr>
        <w:rPr>
          <w:sz w:val="22"/>
          <w:szCs w:val="24"/>
        </w:rPr>
      </w:pPr>
    </w:p>
    <w:p w14:paraId="48CD3BBB" w14:textId="77777777" w:rsidR="00000000" w:rsidRDefault="00000000">
      <w:pPr>
        <w:rPr>
          <w:rFonts w:cs="Calibri"/>
          <w:sz w:val="22"/>
          <w:szCs w:val="24"/>
        </w:rPr>
      </w:pPr>
    </w:p>
    <w:p w14:paraId="04794F60" w14:textId="77777777" w:rsidR="00000000" w:rsidRDefault="00000000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SDNP/25/03185/FUL</w:t>
      </w:r>
    </w:p>
    <w:p w14:paraId="3CE6D291" w14:textId="77777777" w:rsidR="00000000" w:rsidRDefault="00000000">
      <w:pPr>
        <w:rPr>
          <w:sz w:val="22"/>
          <w:szCs w:val="24"/>
        </w:rPr>
      </w:pPr>
    </w:p>
    <w:p w14:paraId="7E28E375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Change of use of former dog training facility to a veterinary hospital with staff accommodation (sui generis), including minor external alterations to the main building to provide new entrance doors and a reception area, replacement of the existing covered walkway with an enclosed link between the main building and the kennel building, formation of a passing place near the vehicular entrance, set-back of the existing access gate, and associated works.</w:t>
      </w:r>
    </w:p>
    <w:p w14:paraId="01AAF718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6D6034D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Canine Partners For </w:t>
      </w:r>
      <w:proofErr w:type="gramStart"/>
      <w:r>
        <w:rPr>
          <w:rFonts w:cs="Calibri"/>
          <w:sz w:val="22"/>
          <w:szCs w:val="24"/>
        </w:rPr>
        <w:t>Independence ,</w:t>
      </w:r>
      <w:proofErr w:type="gramEnd"/>
      <w:r>
        <w:rPr>
          <w:rFonts w:cs="Calibri"/>
          <w:sz w:val="22"/>
          <w:szCs w:val="24"/>
        </w:rPr>
        <w:t xml:space="preserve"> Mill Lane, </w:t>
      </w:r>
      <w:proofErr w:type="spellStart"/>
      <w:r>
        <w:rPr>
          <w:rFonts w:cs="Calibri"/>
          <w:sz w:val="22"/>
          <w:szCs w:val="24"/>
        </w:rPr>
        <w:t>Heyshott</w:t>
      </w:r>
      <w:proofErr w:type="spellEnd"/>
      <w:r>
        <w:rPr>
          <w:rFonts w:cs="Calibri"/>
          <w:sz w:val="22"/>
          <w:szCs w:val="24"/>
        </w:rPr>
        <w:t>, West Sussex, GU29 0ED</w:t>
      </w:r>
    </w:p>
    <w:p w14:paraId="2B496191" w14:textId="77777777" w:rsidR="00000000" w:rsidRDefault="00000000">
      <w:pPr>
        <w:rPr>
          <w:rFonts w:cs="Calibri"/>
          <w:sz w:val="22"/>
          <w:szCs w:val="24"/>
        </w:rPr>
      </w:pPr>
    </w:p>
    <w:p w14:paraId="3930B1D2" w14:textId="77777777" w:rsidR="00000000" w:rsidRDefault="00000000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26 August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12 August 2025</w:t>
      </w:r>
    </w:p>
    <w:p w14:paraId="1C229D55" w14:textId="77777777" w:rsidR="00000000" w:rsidRDefault="00000000">
      <w:pPr>
        <w:rPr>
          <w:rFonts w:cs="Calibri"/>
          <w:sz w:val="22"/>
          <w:szCs w:val="24"/>
        </w:rPr>
      </w:pPr>
    </w:p>
    <w:p w14:paraId="76FA89C3" w14:textId="77777777" w:rsidR="00000000" w:rsidRDefault="00000000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483ED69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proposal relates to the change of use of a business covering a large site within a rural location. It may consequently have the potential to be significant in terms of its implications for the natural beauty, wildlife and/or cultural heritage of the South Downs National Park which constitute the statutory purposes for which the South Downs National Park has been designated.</w:t>
      </w:r>
    </w:p>
    <w:p w14:paraId="54379A74" w14:textId="77777777" w:rsidR="00000000" w:rsidRDefault="00000000">
      <w:pPr>
        <w:rPr>
          <w:rFonts w:cs="Calibri"/>
          <w:sz w:val="22"/>
          <w:szCs w:val="24"/>
        </w:rPr>
      </w:pPr>
    </w:p>
    <w:p w14:paraId="742D2EA7" w14:textId="7ECDB9A4" w:rsidR="00000000" w:rsidRDefault="00477299">
      <w:pPr>
        <w:rPr>
          <w:rFonts w:cs="Calibri"/>
          <w:sz w:val="22"/>
          <w:szCs w:val="24"/>
        </w:rPr>
      </w:pPr>
      <w:hyperlink r:id="rId6" w:history="1">
        <w:r w:rsidR="00000000" w:rsidRPr="00477299">
          <w:rPr>
            <w:rStyle w:val="Hyperlink"/>
            <w:rFonts w:ascii="Gill Sans MT" w:hAnsi="Gill Sans MT" w:cs="Gill Sans MT"/>
            <w:sz w:val="22"/>
            <w:szCs w:val="24"/>
          </w:rPr>
          <w:t>View the case on public access</w:t>
        </w:r>
      </w:hyperlink>
    </w:p>
    <w:p w14:paraId="0463A6B2" w14:textId="77777777" w:rsidR="00000000" w:rsidRDefault="00000000">
      <w:pPr>
        <w:rPr>
          <w:sz w:val="22"/>
          <w:szCs w:val="24"/>
        </w:rPr>
      </w:pPr>
    </w:p>
    <w:p w14:paraId="7DFEAF09" w14:textId="77777777" w:rsidR="00000000" w:rsidRDefault="00000000">
      <w:pPr>
        <w:rPr>
          <w:rFonts w:cs="Calibri"/>
          <w:sz w:val="22"/>
          <w:szCs w:val="24"/>
        </w:rPr>
      </w:pPr>
    </w:p>
    <w:p w14:paraId="2E8DEB33" w14:textId="77777777" w:rsidR="00000000" w:rsidRDefault="00000000">
      <w:pPr>
        <w:rPr>
          <w:sz w:val="22"/>
          <w:szCs w:val="24"/>
        </w:rPr>
      </w:pPr>
    </w:p>
    <w:p w14:paraId="1584D1FB" w14:textId="77777777" w:rsidR="00000000" w:rsidRDefault="00000000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SDNP/25/03338/FUL</w:t>
      </w:r>
    </w:p>
    <w:p w14:paraId="2378447B" w14:textId="77777777" w:rsidR="00000000" w:rsidRDefault="00000000">
      <w:pPr>
        <w:rPr>
          <w:rFonts w:cs="Calibri"/>
          <w:sz w:val="22"/>
          <w:szCs w:val="24"/>
        </w:rPr>
      </w:pPr>
    </w:p>
    <w:p w14:paraId="57E7E24C" w14:textId="77777777" w:rsidR="00000000" w:rsidRDefault="0000000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Change of use of Mill Down House from residential (Use Class C3) to business use (Use Class E(g)) with ancillary short-stay accommodation for staff and vineyard / winery workers.</w:t>
      </w:r>
    </w:p>
    <w:p w14:paraId="75E15F9D" w14:textId="77777777" w:rsidR="00000000" w:rsidRDefault="0000000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21DFA5A" w14:textId="77777777" w:rsidR="00000000" w:rsidRDefault="0000000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Vineyard, East Street, Hambledon, Hampshire, PO7 4RY</w:t>
      </w:r>
    </w:p>
    <w:p w14:paraId="331A3353" w14:textId="77777777" w:rsidR="00000000" w:rsidRDefault="00000000">
      <w:pPr>
        <w:rPr>
          <w:sz w:val="22"/>
          <w:szCs w:val="24"/>
        </w:rPr>
      </w:pPr>
    </w:p>
    <w:p w14:paraId="0F2FCED2" w14:textId="77777777" w:rsidR="00000000" w:rsidRDefault="00000000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lastRenderedPageBreak/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26 August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13 August 2025</w:t>
      </w:r>
    </w:p>
    <w:p w14:paraId="381E15B2" w14:textId="77777777" w:rsidR="00000000" w:rsidRDefault="00000000">
      <w:pPr>
        <w:rPr>
          <w:sz w:val="22"/>
          <w:szCs w:val="24"/>
        </w:rPr>
      </w:pPr>
    </w:p>
    <w:p w14:paraId="75332B79" w14:textId="77777777" w:rsidR="00000000" w:rsidRDefault="00000000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717AAAE" w14:textId="77777777" w:rsidR="00000000" w:rsidRDefault="0000000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SDNPA has previously dealt with applications at this site as they formed part of a comprehensive redevelopment scheme for the whole estate, with the potential to be significant in terms of considerations relating to the natural beauty, wildlife and/or cultural heritage of the South Downs National Park and the first purpose of the designation. The current application will therefore be called in for reasons of consistency.</w:t>
      </w:r>
    </w:p>
    <w:p w14:paraId="71FBBA70" w14:textId="77777777" w:rsidR="00000000" w:rsidRDefault="00000000">
      <w:pPr>
        <w:rPr>
          <w:sz w:val="22"/>
          <w:szCs w:val="24"/>
        </w:rPr>
      </w:pPr>
    </w:p>
    <w:p w14:paraId="612C43BC" w14:textId="77777777" w:rsidR="00000000" w:rsidRDefault="00000000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"https://planningpublicaccess.southdowns.gov.uk/online-applications/applicationDetails.do?activeTab=summary&amp;keyVal=T0XT0MTULDY00"</w:instrText>
      </w:r>
      <w:r w:rsidR="00477299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</w:t>
      </w:r>
      <w:r>
        <w:rPr>
          <w:rStyle w:val="Hyperlink"/>
          <w:rFonts w:ascii="Gill Sans MT" w:hAnsi="Gill Sans MT" w:cs="Gill Sans MT"/>
          <w:szCs w:val="24"/>
        </w:rPr>
        <w:t>a</w:t>
      </w:r>
      <w:r>
        <w:rPr>
          <w:rStyle w:val="Hyperlink"/>
          <w:rFonts w:ascii="Gill Sans MT" w:hAnsi="Gill Sans MT" w:cs="Gill Sans MT"/>
          <w:szCs w:val="24"/>
        </w:rPr>
        <w:t>se on public access</w:t>
      </w:r>
    </w:p>
    <w:p w14:paraId="7A2F769C" w14:textId="77777777" w:rsidR="00000000" w:rsidRDefault="00000000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9E62D6B" w14:textId="77777777" w:rsidR="00000000" w:rsidRDefault="00000000">
      <w:pPr>
        <w:rPr>
          <w:rFonts w:cs="Calibri"/>
          <w:sz w:val="22"/>
          <w:szCs w:val="24"/>
        </w:rPr>
      </w:pPr>
    </w:p>
    <w:p w14:paraId="5E692754" w14:textId="77777777" w:rsidR="001665E5" w:rsidRDefault="001665E5">
      <w:pPr>
        <w:rPr>
          <w:sz w:val="22"/>
          <w:szCs w:val="24"/>
        </w:rPr>
      </w:pPr>
    </w:p>
    <w:sectPr w:rsidR="001665E5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FA38" w14:textId="77777777" w:rsidR="001665E5" w:rsidRDefault="001665E5">
      <w:r>
        <w:separator/>
      </w:r>
    </w:p>
  </w:endnote>
  <w:endnote w:type="continuationSeparator" w:id="0">
    <w:p w14:paraId="12047728" w14:textId="77777777" w:rsidR="001665E5" w:rsidRDefault="001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684E" w14:textId="77777777" w:rsidR="00000000" w:rsidRDefault="0000000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D78B" w14:textId="77777777" w:rsidR="001665E5" w:rsidRDefault="001665E5">
      <w:r>
        <w:separator/>
      </w:r>
    </w:p>
  </w:footnote>
  <w:footnote w:type="continuationSeparator" w:id="0">
    <w:p w14:paraId="710DF2DF" w14:textId="77777777" w:rsidR="001665E5" w:rsidRDefault="0016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99"/>
    <w:rsid w:val="001665E5"/>
    <w:rsid w:val="00477299"/>
    <w:rsid w:val="0062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41E2A"/>
  <w14:defaultImageDpi w14:val="0"/>
  <w15:docId w15:val="{DD4EDC16-D780-488E-80A6-F8F1A621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72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T0GLUITUL3W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2025-09-01T18:53:00Z</dcterms:created>
  <dcterms:modified xsi:type="dcterms:W3CDTF">2025-09-01T18:53:00Z</dcterms:modified>
</cp:coreProperties>
</file>