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25B0" w14:textId="77777777" w:rsidR="00091319" w:rsidRDefault="00091319">
      <w:pPr>
        <w:rPr>
          <w:rFonts w:cs="Calibri"/>
          <w:b/>
          <w:sz w:val="22"/>
          <w:szCs w:val="24"/>
        </w:rPr>
      </w:pPr>
      <w:r>
        <w:rPr>
          <w:b/>
          <w:sz w:val="22"/>
          <w:szCs w:val="24"/>
        </w:rPr>
        <w:t>List of called in applications for the week ending 25.08.2025</w:t>
      </w:r>
    </w:p>
    <w:p w14:paraId="271D8623" w14:textId="77777777" w:rsidR="00091319" w:rsidRDefault="00091319">
      <w:pPr>
        <w:rPr>
          <w:sz w:val="22"/>
          <w:szCs w:val="24"/>
        </w:rPr>
      </w:pPr>
    </w:p>
    <w:p w14:paraId="32AFC535" w14:textId="77777777" w:rsidR="00091319" w:rsidRDefault="00091319">
      <w:pPr>
        <w:rPr>
          <w:rFonts w:cs="Calibri"/>
          <w:sz w:val="22"/>
          <w:szCs w:val="24"/>
        </w:rPr>
      </w:pPr>
    </w:p>
    <w:p w14:paraId="1C2D4997" w14:textId="77777777" w:rsidR="00091319" w:rsidRDefault="00091319">
      <w:pPr>
        <w:rPr>
          <w:rFonts w:cs="Calibri"/>
          <w:b/>
          <w:sz w:val="22"/>
          <w:szCs w:val="24"/>
          <w:u w:val="single"/>
        </w:rPr>
      </w:pPr>
      <w:r>
        <w:rPr>
          <w:b/>
          <w:sz w:val="22"/>
          <w:szCs w:val="24"/>
          <w:u w:val="single"/>
        </w:rPr>
        <w:t>SDNP/25/02497/FUL</w:t>
      </w:r>
    </w:p>
    <w:p w14:paraId="106CD656" w14:textId="77777777" w:rsidR="00091319" w:rsidRDefault="00091319">
      <w:pPr>
        <w:rPr>
          <w:sz w:val="22"/>
          <w:szCs w:val="24"/>
        </w:rPr>
      </w:pPr>
    </w:p>
    <w:p w14:paraId="3A6768B9" w14:textId="77777777" w:rsidR="00091319" w:rsidRDefault="00091319">
      <w:pPr>
        <w:rPr>
          <w:sz w:val="22"/>
          <w:szCs w:val="24"/>
        </w:rPr>
      </w:pPr>
      <w:r>
        <w:rPr>
          <w:rFonts w:cs="Calibri"/>
          <w:sz w:val="22"/>
          <w:szCs w:val="24"/>
        </w:rPr>
        <w:t>Replacement of existing 2no 40m communications masts with 1no 55m communications mast, antennas and associated development</w:t>
      </w:r>
    </w:p>
    <w:p w14:paraId="2C2965FD" w14:textId="77777777" w:rsidR="00091319" w:rsidRDefault="00091319">
      <w:pPr>
        <w:rPr>
          <w:sz w:val="22"/>
          <w:szCs w:val="24"/>
        </w:rPr>
      </w:pPr>
      <w:r>
        <w:rPr>
          <w:rFonts w:cs="Calibri"/>
          <w:sz w:val="22"/>
          <w:szCs w:val="24"/>
        </w:rPr>
        <w:t xml:space="preserve">At  </w:t>
      </w:r>
    </w:p>
    <w:p w14:paraId="4B3A5A26" w14:textId="77777777" w:rsidR="00091319" w:rsidRDefault="00091319">
      <w:pPr>
        <w:rPr>
          <w:sz w:val="22"/>
          <w:szCs w:val="24"/>
        </w:rPr>
      </w:pPr>
      <w:r>
        <w:rPr>
          <w:rFonts w:cs="Calibri"/>
          <w:sz w:val="22"/>
          <w:szCs w:val="24"/>
        </w:rPr>
        <w:t>Te</w:t>
      </w:r>
      <w:r>
        <w:rPr>
          <w:sz w:val="22"/>
          <w:szCs w:val="24"/>
        </w:rPr>
        <w:t>le</w:t>
      </w:r>
      <w:r>
        <w:rPr>
          <w:rFonts w:cs="Calibri"/>
          <w:sz w:val="22"/>
          <w:szCs w:val="24"/>
        </w:rPr>
        <w:t xml:space="preserve">communication Site North of Reservoirs, </w:t>
      </w:r>
      <w:proofErr w:type="spellStart"/>
      <w:r>
        <w:rPr>
          <w:rFonts w:cs="Calibri"/>
          <w:sz w:val="22"/>
          <w:szCs w:val="24"/>
        </w:rPr>
        <w:t>Wether</w:t>
      </w:r>
      <w:proofErr w:type="spellEnd"/>
      <w:r>
        <w:rPr>
          <w:rFonts w:cs="Calibri"/>
          <w:sz w:val="22"/>
          <w:szCs w:val="24"/>
        </w:rPr>
        <w:t xml:space="preserve"> Down Lane, East Meon, Petersfield, Hampshire, </w:t>
      </w:r>
    </w:p>
    <w:p w14:paraId="18A14956" w14:textId="77777777" w:rsidR="00091319" w:rsidRDefault="00091319">
      <w:pPr>
        <w:rPr>
          <w:rFonts w:cs="Calibri"/>
          <w:sz w:val="22"/>
          <w:szCs w:val="24"/>
        </w:rPr>
      </w:pPr>
    </w:p>
    <w:p w14:paraId="7E87206F" w14:textId="77777777" w:rsidR="00091319" w:rsidRDefault="00091319">
      <w:pPr>
        <w:rPr>
          <w:sz w:val="22"/>
          <w:szCs w:val="24"/>
        </w:rPr>
      </w:pPr>
      <w:r>
        <w:rPr>
          <w:b/>
          <w:sz w:val="22"/>
          <w:szCs w:val="24"/>
        </w:rPr>
        <w:t>Validation Date:</w:t>
      </w:r>
      <w:r>
        <w:rPr>
          <w:rFonts w:cs="Calibri"/>
          <w:sz w:val="22"/>
          <w:szCs w:val="24"/>
        </w:rPr>
        <w:t xml:space="preserve">  </w:t>
      </w:r>
      <w:r>
        <w:rPr>
          <w:sz w:val="22"/>
          <w:szCs w:val="24"/>
        </w:rPr>
        <w:t>19 August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17 June 2025</w:t>
      </w:r>
    </w:p>
    <w:p w14:paraId="20F44B5F" w14:textId="77777777" w:rsidR="00091319" w:rsidRDefault="00091319">
      <w:pPr>
        <w:rPr>
          <w:rFonts w:cs="Calibri"/>
          <w:sz w:val="22"/>
          <w:szCs w:val="24"/>
        </w:rPr>
      </w:pPr>
    </w:p>
    <w:p w14:paraId="56FC3787" w14:textId="77777777" w:rsidR="00091319" w:rsidRDefault="00091319">
      <w:pPr>
        <w:rPr>
          <w:b/>
          <w:sz w:val="22"/>
          <w:szCs w:val="24"/>
        </w:rPr>
      </w:pPr>
      <w:r>
        <w:rPr>
          <w:b/>
          <w:sz w:val="22"/>
          <w:szCs w:val="24"/>
        </w:rPr>
        <w:t>Reason for the Direction</w:t>
      </w:r>
      <w:r>
        <w:rPr>
          <w:rFonts w:cs="Calibri"/>
          <w:b/>
          <w:sz w:val="22"/>
          <w:szCs w:val="24"/>
        </w:rPr>
        <w:t>:</w:t>
      </w:r>
    </w:p>
    <w:p w14:paraId="24EB22D7" w14:textId="77777777" w:rsidR="00091319" w:rsidRDefault="00091319">
      <w:pPr>
        <w:rPr>
          <w:sz w:val="22"/>
          <w:szCs w:val="24"/>
        </w:rPr>
      </w:pPr>
      <w:r>
        <w:rPr>
          <w:rFonts w:cs="Calibri"/>
          <w:sz w:val="22"/>
          <w:szCs w:val="24"/>
        </w:rPr>
        <w:t xml:space="preserve">The application proposes significant telecommunications infrastructure in a sensitive landscape setting. The South Downs National Park Authority propose to determine the above application due to the </w:t>
      </w:r>
      <w:proofErr w:type="gramStart"/>
      <w:r>
        <w:rPr>
          <w:rFonts w:cs="Calibri"/>
          <w:sz w:val="22"/>
          <w:szCs w:val="24"/>
        </w:rPr>
        <w:t>particular considerations</w:t>
      </w:r>
      <w:proofErr w:type="gramEnd"/>
      <w:r>
        <w:rPr>
          <w:rFonts w:cs="Calibri"/>
          <w:sz w:val="22"/>
          <w:szCs w:val="24"/>
        </w:rPr>
        <w:t xml:space="preserve"> relating to potential impact on the natural beauty, wildlife and cultural heritage of the South Downs National Park, which constitute the first purpose for which the South Downs National Park has been designated.</w:t>
      </w:r>
    </w:p>
    <w:p w14:paraId="6BA4620D" w14:textId="77777777" w:rsidR="00091319" w:rsidRDefault="00091319">
      <w:pPr>
        <w:rPr>
          <w:rFonts w:cs="Calibri"/>
          <w:sz w:val="22"/>
          <w:szCs w:val="24"/>
        </w:rPr>
      </w:pPr>
    </w:p>
    <w:p w14:paraId="1C5285A9" w14:textId="77777777" w:rsidR="00091319" w:rsidRDefault="00091319">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"https://planningpublicaccess.southdowns.gov.uk/online-applications/applicationDetails.do?activeTab=summary&amp;keyVal=SXXZ5ETUJTV00"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24DE5E77" w14:textId="77777777" w:rsidR="00091319" w:rsidRDefault="00091319">
      <w:pPr>
        <w:rPr>
          <w:rFonts w:cs="Calibri"/>
          <w:sz w:val="22"/>
          <w:szCs w:val="24"/>
        </w:rPr>
      </w:pPr>
      <w:r>
        <w:rPr>
          <w:sz w:val="22"/>
          <w:szCs w:val="24"/>
        </w:rPr>
        <w:fldChar w:fldCharType="end"/>
      </w:r>
    </w:p>
    <w:p w14:paraId="01DACC4F" w14:textId="77777777" w:rsidR="00091319" w:rsidRDefault="00091319">
      <w:pPr>
        <w:rPr>
          <w:sz w:val="22"/>
          <w:szCs w:val="24"/>
        </w:rPr>
      </w:pPr>
    </w:p>
    <w:p w14:paraId="41DC9458" w14:textId="77777777" w:rsidR="00091319" w:rsidRDefault="00091319">
      <w:pPr>
        <w:rPr>
          <w:b/>
          <w:sz w:val="22"/>
          <w:szCs w:val="24"/>
          <w:u w:val="single"/>
        </w:rPr>
      </w:pPr>
      <w:r>
        <w:rPr>
          <w:rFonts w:cs="Calibri"/>
          <w:b/>
          <w:sz w:val="22"/>
          <w:szCs w:val="24"/>
          <w:u w:val="single"/>
        </w:rPr>
        <w:t>SDNP/25/03261/LDP</w:t>
      </w:r>
    </w:p>
    <w:p w14:paraId="4633BCCD" w14:textId="77777777" w:rsidR="00091319" w:rsidRDefault="00091319">
      <w:pPr>
        <w:rPr>
          <w:rFonts w:cs="Calibri"/>
          <w:sz w:val="22"/>
          <w:szCs w:val="24"/>
        </w:rPr>
      </w:pPr>
    </w:p>
    <w:p w14:paraId="49DEE43B" w14:textId="77777777" w:rsidR="00091319" w:rsidRDefault="00091319">
      <w:pPr>
        <w:rPr>
          <w:rFonts w:cs="Calibri"/>
          <w:sz w:val="22"/>
          <w:szCs w:val="24"/>
        </w:rPr>
      </w:pPr>
      <w:r>
        <w:rPr>
          <w:sz w:val="22"/>
          <w:szCs w:val="24"/>
        </w:rPr>
        <w:t>Confirmation that the stationing of caravans across the whole of Marwell Resort would be lawful</w:t>
      </w:r>
    </w:p>
    <w:p w14:paraId="06E68A85" w14:textId="77777777" w:rsidR="00091319" w:rsidRDefault="00091319">
      <w:pPr>
        <w:rPr>
          <w:rFonts w:cs="Calibri"/>
          <w:sz w:val="22"/>
          <w:szCs w:val="24"/>
        </w:rPr>
      </w:pPr>
      <w:r>
        <w:rPr>
          <w:sz w:val="22"/>
          <w:szCs w:val="24"/>
        </w:rPr>
        <w:t xml:space="preserve">At  </w:t>
      </w:r>
    </w:p>
    <w:p w14:paraId="555CD70C" w14:textId="77777777" w:rsidR="00091319" w:rsidRDefault="00091319">
      <w:pPr>
        <w:rPr>
          <w:rFonts w:cs="Calibri"/>
          <w:sz w:val="22"/>
          <w:szCs w:val="24"/>
        </w:rPr>
      </w:pPr>
      <w:r>
        <w:rPr>
          <w:sz w:val="22"/>
          <w:szCs w:val="24"/>
        </w:rPr>
        <w:t xml:space="preserve">Marwell Activity Centre, Hurst Lane, </w:t>
      </w:r>
      <w:proofErr w:type="spellStart"/>
      <w:r>
        <w:rPr>
          <w:sz w:val="22"/>
          <w:szCs w:val="24"/>
        </w:rPr>
        <w:t>Owslebury</w:t>
      </w:r>
      <w:proofErr w:type="spellEnd"/>
      <w:r>
        <w:rPr>
          <w:sz w:val="22"/>
          <w:szCs w:val="24"/>
        </w:rPr>
        <w:t>, Hampshire, SO21 1EZ</w:t>
      </w:r>
    </w:p>
    <w:p w14:paraId="65B2D32E" w14:textId="77777777" w:rsidR="00091319" w:rsidRDefault="00091319">
      <w:pPr>
        <w:rPr>
          <w:sz w:val="22"/>
          <w:szCs w:val="24"/>
        </w:rPr>
      </w:pPr>
    </w:p>
    <w:p w14:paraId="185C742A" w14:textId="77777777" w:rsidR="00091319" w:rsidRDefault="00091319">
      <w:pPr>
        <w:rPr>
          <w:rFonts w:cs="Calibri"/>
          <w:sz w:val="22"/>
          <w:szCs w:val="24"/>
        </w:rPr>
      </w:pPr>
      <w:r>
        <w:rPr>
          <w:rFonts w:cs="Calibri"/>
          <w:b/>
          <w:sz w:val="22"/>
          <w:szCs w:val="24"/>
        </w:rPr>
        <w:t>Validation Date:</w:t>
      </w:r>
      <w:r>
        <w:rPr>
          <w:sz w:val="22"/>
          <w:szCs w:val="24"/>
        </w:rPr>
        <w:t xml:space="preserve">  </w:t>
      </w:r>
      <w:r>
        <w:rPr>
          <w:rFonts w:cs="Calibri"/>
          <w:sz w:val="22"/>
          <w:szCs w:val="24"/>
        </w:rPr>
        <w:t>19 August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19 August 2025</w:t>
      </w:r>
    </w:p>
    <w:p w14:paraId="2DE12AAD" w14:textId="77777777" w:rsidR="00091319" w:rsidRDefault="00091319">
      <w:pPr>
        <w:rPr>
          <w:sz w:val="22"/>
          <w:szCs w:val="24"/>
        </w:rPr>
      </w:pPr>
    </w:p>
    <w:p w14:paraId="322F0A43" w14:textId="77777777" w:rsidR="00091319" w:rsidRDefault="00091319">
      <w:pPr>
        <w:rPr>
          <w:rFonts w:cs="Calibri"/>
          <w:b/>
          <w:sz w:val="22"/>
          <w:szCs w:val="24"/>
        </w:rPr>
      </w:pPr>
      <w:r>
        <w:rPr>
          <w:rFonts w:cs="Calibri"/>
          <w:b/>
          <w:sz w:val="22"/>
          <w:szCs w:val="24"/>
        </w:rPr>
        <w:t>Reason for the Direction</w:t>
      </w:r>
      <w:r>
        <w:rPr>
          <w:b/>
          <w:sz w:val="22"/>
          <w:szCs w:val="24"/>
        </w:rPr>
        <w:t>:</w:t>
      </w:r>
    </w:p>
    <w:p w14:paraId="51A976E5" w14:textId="77777777" w:rsidR="00091319" w:rsidRDefault="00091319">
      <w:pPr>
        <w:rPr>
          <w:rFonts w:cs="Calibri"/>
          <w:sz w:val="22"/>
          <w:szCs w:val="24"/>
        </w:rPr>
      </w:pPr>
      <w:r>
        <w:rPr>
          <w:sz w:val="22"/>
          <w:szCs w:val="24"/>
        </w:rPr>
        <w:t xml:space="preserve">This application for a Lawful Development Certificate relates to a site where applications have </w:t>
      </w:r>
      <w:proofErr w:type="spellStart"/>
      <w:r>
        <w:rPr>
          <w:sz w:val="22"/>
          <w:szCs w:val="24"/>
        </w:rPr>
        <w:t>previosuly</w:t>
      </w:r>
      <w:proofErr w:type="spellEnd"/>
      <w:r>
        <w:rPr>
          <w:sz w:val="22"/>
          <w:szCs w:val="24"/>
        </w:rPr>
        <w:t xml:space="preserve"> been called in due to  the need to balance considerations regarding any impacts on the natural beauty, wildlife and cultural heritage of the area as a result of the proposed activities and uses against any opportunities that the uses and activities may bring for understanding and enjoyment of its special qualities by the public. </w:t>
      </w:r>
    </w:p>
    <w:p w14:paraId="6D42FEC3" w14:textId="77777777" w:rsidR="00091319" w:rsidRDefault="00091319">
      <w:pPr>
        <w:rPr>
          <w:sz w:val="22"/>
          <w:szCs w:val="24"/>
        </w:rPr>
      </w:pPr>
    </w:p>
    <w:p w14:paraId="3E347B4C" w14:textId="77777777" w:rsidR="00091319" w:rsidRDefault="00091319">
      <w:pPr>
        <w:rPr>
          <w:sz w:val="22"/>
          <w:szCs w:val="24"/>
        </w:rPr>
      </w:pPr>
      <w:r>
        <w:rPr>
          <w:rFonts w:cs="Calibri"/>
          <w:sz w:val="22"/>
          <w:szCs w:val="24"/>
        </w:rPr>
        <w:t>Accordingly, for reasons of consistency, the current application for a Lawful Development Certificate will also be dealt with by the SDNPA in-house.</w:t>
      </w:r>
    </w:p>
    <w:p w14:paraId="7E6AE135" w14:textId="77777777" w:rsidR="00091319" w:rsidRDefault="00091319">
      <w:pPr>
        <w:rPr>
          <w:rFonts w:cs="Calibri"/>
          <w:sz w:val="22"/>
          <w:szCs w:val="24"/>
        </w:rPr>
      </w:pPr>
    </w:p>
    <w:p w14:paraId="654E9CD9" w14:textId="77777777" w:rsidR="00091319" w:rsidRDefault="00091319">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"https://planningpublicaccess.southdowns.gov.uk/online-applications/applicationDetails.do?activeTab=summary&amp;keyVal=T0O8KDTUL9C00"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13E40E92" w14:textId="77777777" w:rsidR="00091319" w:rsidRDefault="00091319">
      <w:pPr>
        <w:rPr>
          <w:rFonts w:cs="Calibri"/>
          <w:sz w:val="22"/>
          <w:szCs w:val="24"/>
        </w:rPr>
      </w:pPr>
      <w:r>
        <w:rPr>
          <w:sz w:val="22"/>
          <w:szCs w:val="24"/>
        </w:rPr>
        <w:fldChar w:fldCharType="end"/>
      </w:r>
    </w:p>
    <w:p w14:paraId="2F0FB36F" w14:textId="77777777" w:rsidR="00091319" w:rsidRDefault="00091319">
      <w:pPr>
        <w:rPr>
          <w:sz w:val="22"/>
          <w:szCs w:val="24"/>
        </w:rPr>
      </w:pPr>
    </w:p>
    <w:p w14:paraId="08636C3D" w14:textId="77777777" w:rsidR="00091319" w:rsidRDefault="00091319">
      <w:pPr>
        <w:rPr>
          <w:b/>
          <w:sz w:val="22"/>
          <w:szCs w:val="24"/>
          <w:u w:val="single"/>
        </w:rPr>
      </w:pPr>
      <w:r>
        <w:rPr>
          <w:rFonts w:cs="Calibri"/>
          <w:b/>
          <w:sz w:val="22"/>
          <w:szCs w:val="24"/>
          <w:u w:val="single"/>
        </w:rPr>
        <w:t>SDNP/25/03395/DCOND</w:t>
      </w:r>
    </w:p>
    <w:p w14:paraId="693C1B80" w14:textId="77777777" w:rsidR="00091319" w:rsidRDefault="00091319">
      <w:pPr>
        <w:rPr>
          <w:rFonts w:cs="Calibri"/>
          <w:sz w:val="22"/>
          <w:szCs w:val="24"/>
        </w:rPr>
      </w:pPr>
    </w:p>
    <w:p w14:paraId="41F7F84F" w14:textId="77777777" w:rsidR="00091319" w:rsidRDefault="00091319">
      <w:pPr>
        <w:rPr>
          <w:rFonts w:cs="Calibri"/>
          <w:sz w:val="22"/>
          <w:szCs w:val="24"/>
        </w:rPr>
      </w:pPr>
      <w:r>
        <w:rPr>
          <w:sz w:val="22"/>
          <w:szCs w:val="24"/>
        </w:rPr>
        <w:t>Discharge of Condition 3 (Schedule of Works) of Listed Building Consent SDNP/25/00905/LIS.</w:t>
      </w:r>
    </w:p>
    <w:p w14:paraId="60FDBD5F" w14:textId="77777777" w:rsidR="00091319" w:rsidRDefault="00091319">
      <w:pPr>
        <w:rPr>
          <w:rFonts w:cs="Calibri"/>
          <w:sz w:val="22"/>
          <w:szCs w:val="24"/>
        </w:rPr>
      </w:pPr>
      <w:r>
        <w:rPr>
          <w:sz w:val="22"/>
          <w:szCs w:val="24"/>
        </w:rPr>
        <w:t xml:space="preserve">At  </w:t>
      </w:r>
    </w:p>
    <w:p w14:paraId="0156DB14" w14:textId="77777777" w:rsidR="00091319" w:rsidRDefault="00091319">
      <w:pPr>
        <w:rPr>
          <w:rFonts w:cs="Calibri"/>
          <w:sz w:val="22"/>
          <w:szCs w:val="24"/>
        </w:rPr>
      </w:pPr>
      <w:r>
        <w:rPr>
          <w:sz w:val="22"/>
          <w:szCs w:val="24"/>
        </w:rPr>
        <w:t>The Brewery Shop, The Bridge Wharf Brewery, 4 - 6 Cliffe High Street, Lewes, East Sussex, BN7 2AH</w:t>
      </w:r>
    </w:p>
    <w:p w14:paraId="7C1F4183" w14:textId="77777777" w:rsidR="00091319" w:rsidRDefault="00091319">
      <w:pPr>
        <w:rPr>
          <w:sz w:val="22"/>
          <w:szCs w:val="24"/>
        </w:rPr>
      </w:pPr>
    </w:p>
    <w:p w14:paraId="56214815" w14:textId="77777777" w:rsidR="00091319" w:rsidRDefault="00091319">
      <w:pPr>
        <w:rPr>
          <w:rFonts w:cs="Calibri"/>
          <w:sz w:val="22"/>
          <w:szCs w:val="24"/>
        </w:rPr>
      </w:pPr>
      <w:r>
        <w:rPr>
          <w:rFonts w:cs="Calibri"/>
          <w:b/>
          <w:sz w:val="22"/>
          <w:szCs w:val="24"/>
        </w:rPr>
        <w:t>Validation Date:</w:t>
      </w:r>
      <w:r>
        <w:rPr>
          <w:sz w:val="22"/>
          <w:szCs w:val="24"/>
        </w:rPr>
        <w:t xml:space="preserve">  </w:t>
      </w:r>
      <w:r>
        <w:rPr>
          <w:rFonts w:cs="Calibri"/>
          <w:sz w:val="22"/>
          <w:szCs w:val="24"/>
        </w:rPr>
        <w:t>19 August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55D73EFF" w14:textId="77777777" w:rsidR="00091319" w:rsidRDefault="00091319">
      <w:pPr>
        <w:rPr>
          <w:sz w:val="22"/>
          <w:szCs w:val="24"/>
        </w:rPr>
      </w:pPr>
    </w:p>
    <w:p w14:paraId="3D988FA8" w14:textId="77777777" w:rsidR="00091319" w:rsidRDefault="00091319">
      <w:pPr>
        <w:rPr>
          <w:rFonts w:cs="Calibri"/>
          <w:b/>
          <w:sz w:val="22"/>
          <w:szCs w:val="24"/>
        </w:rPr>
      </w:pPr>
      <w:r>
        <w:rPr>
          <w:rFonts w:cs="Calibri"/>
          <w:b/>
          <w:sz w:val="22"/>
          <w:szCs w:val="24"/>
        </w:rPr>
        <w:t>Reason for the Direction</w:t>
      </w:r>
      <w:r>
        <w:rPr>
          <w:b/>
          <w:sz w:val="22"/>
          <w:szCs w:val="24"/>
        </w:rPr>
        <w:t>:</w:t>
      </w:r>
    </w:p>
    <w:p w14:paraId="20CC03C3" w14:textId="77777777" w:rsidR="00091319" w:rsidRDefault="00091319">
      <w:pPr>
        <w:rPr>
          <w:sz w:val="22"/>
          <w:szCs w:val="24"/>
        </w:rPr>
      </w:pPr>
    </w:p>
    <w:p w14:paraId="4DB9209D" w14:textId="77777777" w:rsidR="00091319" w:rsidRDefault="00091319">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"https://planningpublicaccess.southdowns.gov.uk/online-applications/applicationDetails.do?activeTab=summary&amp;keyVal=T1710ATULHQ00"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224F988" w14:textId="77777777" w:rsidR="00091319" w:rsidRDefault="00091319">
      <w:pPr>
        <w:rPr>
          <w:sz w:val="22"/>
          <w:szCs w:val="24"/>
        </w:rPr>
      </w:pPr>
      <w:r>
        <w:rPr>
          <w:rFonts w:cs="Calibri"/>
          <w:sz w:val="22"/>
          <w:szCs w:val="24"/>
        </w:rPr>
        <w:fldChar w:fldCharType="end"/>
      </w:r>
    </w:p>
    <w:p w14:paraId="6F85AFB8" w14:textId="77777777" w:rsidR="00091319" w:rsidRDefault="00091319">
      <w:pPr>
        <w:rPr>
          <w:rFonts w:cs="Calibri"/>
          <w:sz w:val="22"/>
          <w:szCs w:val="24"/>
        </w:rPr>
      </w:pPr>
    </w:p>
    <w:p w14:paraId="76B31376" w14:textId="77777777" w:rsidR="00091319" w:rsidRDefault="00091319">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7363" w14:textId="77777777" w:rsidR="00091319" w:rsidRDefault="00091319">
      <w:r>
        <w:separator/>
      </w:r>
    </w:p>
  </w:endnote>
  <w:endnote w:type="continuationSeparator" w:id="0">
    <w:p w14:paraId="1721A131" w14:textId="77777777" w:rsidR="00091319" w:rsidRDefault="0009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C283" w14:textId="77777777" w:rsidR="00091319" w:rsidRDefault="00091319">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935C" w14:textId="77777777" w:rsidR="00091319" w:rsidRDefault="00091319">
      <w:r>
        <w:separator/>
      </w:r>
    </w:p>
  </w:footnote>
  <w:footnote w:type="continuationSeparator" w:id="0">
    <w:p w14:paraId="0A274915" w14:textId="77777777" w:rsidR="00091319" w:rsidRDefault="0009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19"/>
    <w:rsid w:val="00091319"/>
    <w:rsid w:val="0045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E9B34"/>
  <w14:defaultImageDpi w14:val="0"/>
  <w15:docId w15:val="{56507B69-004B-4D4D-BD69-D6A5B8A0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2025-08-25T17:24:00Z</dcterms:created>
  <dcterms:modified xsi:type="dcterms:W3CDTF">2025-08-25T17:24:00Z</dcterms:modified>
</cp:coreProperties>
</file>