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6352" w14:textId="77777777" w:rsidR="00416867" w:rsidRDefault="00416867">
      <w:pPr>
        <w:rPr>
          <w:rFonts w:cs="Calibri"/>
          <w:sz w:val="22"/>
          <w:szCs w:val="24"/>
        </w:rPr>
      </w:pPr>
      <w:r>
        <w:rPr>
          <w:sz w:val="22"/>
          <w:szCs w:val="24"/>
        </w:rPr>
        <w:t>List of called in applications for the week ending 13.05.2024</w:t>
      </w:r>
    </w:p>
    <w:p w14:paraId="0D60F312" w14:textId="77777777" w:rsidR="00416867" w:rsidRDefault="00416867">
      <w:pPr>
        <w:rPr>
          <w:sz w:val="22"/>
          <w:szCs w:val="24"/>
        </w:rPr>
      </w:pPr>
    </w:p>
    <w:p w14:paraId="5B59A871" w14:textId="77777777" w:rsidR="00416867" w:rsidRDefault="00416867">
      <w:pPr>
        <w:rPr>
          <w:rFonts w:cs="Calibri"/>
          <w:sz w:val="22"/>
          <w:szCs w:val="24"/>
        </w:rPr>
      </w:pPr>
    </w:p>
    <w:p w14:paraId="199FEC04" w14:textId="77777777" w:rsidR="00416867" w:rsidRDefault="00416867">
      <w:pPr>
        <w:rPr>
          <w:rFonts w:cs="Calibri"/>
          <w:b/>
          <w:sz w:val="22"/>
          <w:szCs w:val="24"/>
          <w:u w:val="single"/>
        </w:rPr>
      </w:pPr>
      <w:r>
        <w:rPr>
          <w:b/>
          <w:sz w:val="22"/>
          <w:szCs w:val="24"/>
          <w:u w:val="single"/>
        </w:rPr>
        <w:t>SDNP/24/01751/FUL</w:t>
      </w:r>
    </w:p>
    <w:p w14:paraId="272E1DB0" w14:textId="77777777" w:rsidR="00416867" w:rsidRDefault="00416867">
      <w:pPr>
        <w:rPr>
          <w:sz w:val="22"/>
          <w:szCs w:val="24"/>
        </w:rPr>
      </w:pPr>
    </w:p>
    <w:p w14:paraId="2F35A050" w14:textId="77777777" w:rsidR="00416867" w:rsidRDefault="00416867">
      <w:pPr>
        <w:rPr>
          <w:sz w:val="22"/>
          <w:szCs w:val="24"/>
        </w:rPr>
      </w:pPr>
      <w:r>
        <w:rPr>
          <w:rFonts w:cs="Calibri"/>
          <w:sz w:val="22"/>
          <w:szCs w:val="24"/>
        </w:rPr>
        <w:t>Consolidation repairs to the former north and south platforms, and former Goods Shed (including replacement roof), installation of 2nr. timber station name signs, repairs to face of existing station access retaining wall, and removal of loose render and fitting of debris netting and fence</w:t>
      </w:r>
    </w:p>
    <w:p w14:paraId="3753D975" w14:textId="77777777" w:rsidR="00416867" w:rsidRDefault="00416867">
      <w:pPr>
        <w:rPr>
          <w:sz w:val="22"/>
          <w:szCs w:val="24"/>
        </w:rPr>
      </w:pPr>
      <w:r>
        <w:rPr>
          <w:rFonts w:cs="Calibri"/>
          <w:sz w:val="22"/>
          <w:szCs w:val="24"/>
        </w:rPr>
        <w:t xml:space="preserve">At  </w:t>
      </w:r>
    </w:p>
    <w:p w14:paraId="26CA206B" w14:textId="77777777" w:rsidR="00416867" w:rsidRDefault="00416867">
      <w:pPr>
        <w:rPr>
          <w:rFonts w:cs="Calibri"/>
          <w:sz w:val="22"/>
          <w:szCs w:val="24"/>
        </w:rPr>
      </w:pPr>
    </w:p>
    <w:p w14:paraId="334A6437" w14:textId="77777777" w:rsidR="00416867" w:rsidRDefault="00416867">
      <w:pPr>
        <w:rPr>
          <w:rFonts w:cs="Calibri"/>
          <w:sz w:val="22"/>
          <w:szCs w:val="24"/>
        </w:rPr>
      </w:pPr>
      <w:r>
        <w:rPr>
          <w:sz w:val="22"/>
          <w:szCs w:val="24"/>
        </w:rPr>
        <w:t>Former Singleton Railway Station, A286 The Grinch to Town Lane, West Dean, West Sussex, PO18 0RX</w:t>
      </w:r>
    </w:p>
    <w:p w14:paraId="47F3666D" w14:textId="77777777" w:rsidR="00416867" w:rsidRDefault="00416867">
      <w:pPr>
        <w:rPr>
          <w:sz w:val="22"/>
          <w:szCs w:val="24"/>
        </w:rPr>
      </w:pPr>
    </w:p>
    <w:p w14:paraId="5FAD3245" w14:textId="77777777" w:rsidR="00416867" w:rsidRDefault="00416867">
      <w:pPr>
        <w:rPr>
          <w:rFonts w:cs="Calibri"/>
          <w:sz w:val="22"/>
          <w:szCs w:val="24"/>
        </w:rPr>
      </w:pPr>
    </w:p>
    <w:p w14:paraId="126E76A2" w14:textId="77777777" w:rsidR="00416867" w:rsidRDefault="00416867">
      <w:pPr>
        <w:rPr>
          <w:sz w:val="22"/>
          <w:szCs w:val="24"/>
        </w:rPr>
      </w:pPr>
      <w:r>
        <w:rPr>
          <w:b/>
          <w:sz w:val="22"/>
          <w:szCs w:val="24"/>
        </w:rPr>
        <w:t>Validation Date:</w:t>
      </w:r>
      <w:r>
        <w:rPr>
          <w:rFonts w:cs="Calibri"/>
          <w:sz w:val="22"/>
          <w:szCs w:val="24"/>
        </w:rPr>
        <w:tab/>
        <w:t>8 May 2024</w:t>
      </w:r>
    </w:p>
    <w:p w14:paraId="32C9D81B" w14:textId="77777777" w:rsidR="00416867" w:rsidRDefault="00416867">
      <w:pPr>
        <w:rPr>
          <w:rFonts w:cs="Calibri"/>
          <w:sz w:val="22"/>
          <w:szCs w:val="24"/>
        </w:rPr>
      </w:pPr>
    </w:p>
    <w:p w14:paraId="04744094" w14:textId="77777777" w:rsidR="00416867" w:rsidRDefault="00416867">
      <w:pPr>
        <w:rPr>
          <w:sz w:val="22"/>
          <w:szCs w:val="24"/>
        </w:rPr>
      </w:pPr>
      <w:r>
        <w:rPr>
          <w:b/>
          <w:sz w:val="22"/>
          <w:szCs w:val="24"/>
        </w:rPr>
        <w:t>Date of Direction:</w:t>
      </w:r>
      <w:r>
        <w:rPr>
          <w:rFonts w:cs="Calibri"/>
          <w:sz w:val="22"/>
          <w:szCs w:val="24"/>
        </w:rPr>
        <w:t xml:space="preserve"> </w:t>
      </w:r>
      <w:r>
        <w:rPr>
          <w:rFonts w:cs="Calibri"/>
          <w:sz w:val="22"/>
          <w:szCs w:val="24"/>
        </w:rPr>
        <w:tab/>
        <w:t>29 April 2024</w:t>
      </w:r>
    </w:p>
    <w:p w14:paraId="7ADE2D27" w14:textId="77777777" w:rsidR="00416867" w:rsidRDefault="00416867">
      <w:pPr>
        <w:rPr>
          <w:rFonts w:cs="Calibri"/>
          <w:sz w:val="22"/>
          <w:szCs w:val="24"/>
        </w:rPr>
      </w:pPr>
    </w:p>
    <w:p w14:paraId="387724A2" w14:textId="77777777" w:rsidR="00416867" w:rsidRDefault="00416867">
      <w:pPr>
        <w:rPr>
          <w:rFonts w:cs="Calibri"/>
          <w:b/>
          <w:sz w:val="22"/>
          <w:szCs w:val="24"/>
        </w:rPr>
      </w:pPr>
      <w:r>
        <w:rPr>
          <w:b/>
          <w:sz w:val="22"/>
          <w:szCs w:val="24"/>
        </w:rPr>
        <w:t>Reason for the Direction</w:t>
      </w:r>
    </w:p>
    <w:p w14:paraId="4DC5313E" w14:textId="77777777" w:rsidR="00416867" w:rsidRDefault="00416867">
      <w:pPr>
        <w:rPr>
          <w:rFonts w:cs="Calibri"/>
          <w:sz w:val="22"/>
          <w:szCs w:val="24"/>
        </w:rPr>
      </w:pPr>
      <w:r>
        <w:rPr>
          <w:sz w:val="22"/>
          <w:szCs w:val="24"/>
        </w:rPr>
        <w:t>This application is for consolidation and repairs to a large site of historic interest, including the Grade II listed goods shed. It is also related to the Centurion Way extension application SDNP/18/05920/FUL for extension of the Centurion Way between West Dean and Cocking. It may consequently have the potential to be significant in terms of its implications for the natural beauty, wildlife and/or cultural heritage of the South Downs National Park and for its understanding and enjoyment, which constitute t</w:t>
      </w:r>
      <w:r>
        <w:rPr>
          <w:sz w:val="22"/>
          <w:szCs w:val="24"/>
        </w:rPr>
        <w:t>he two statutory purposes for which the South Downs National Park has been designated. In addition, as this application also has a relationship with SDNP/18/05920/FUL, it will also be dealt with in-house for reasons of consistency.</w:t>
      </w:r>
    </w:p>
    <w:p w14:paraId="20FF01ED" w14:textId="77777777" w:rsidR="00416867" w:rsidRDefault="00416867">
      <w:pPr>
        <w:rPr>
          <w:sz w:val="22"/>
          <w:szCs w:val="24"/>
        </w:rPr>
      </w:pPr>
    </w:p>
    <w:p w14:paraId="71F991E0" w14:textId="77777777" w:rsidR="00416867" w:rsidRDefault="00416867">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"https://planningpublicaccess.southdowns.gov.uk/online-applications/applicationDetails.do?activeTab=summary&amp;keyVal=SCK12RTUG7V00"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0E5E21BC" w14:textId="77777777" w:rsidR="00416867" w:rsidRDefault="00416867">
      <w:pPr>
        <w:rPr>
          <w:sz w:val="22"/>
          <w:szCs w:val="24"/>
        </w:rPr>
      </w:pPr>
      <w:r>
        <w:rPr>
          <w:rFonts w:cs="Calibri"/>
          <w:sz w:val="22"/>
          <w:szCs w:val="24"/>
        </w:rPr>
        <w:fldChar w:fldCharType="end"/>
      </w:r>
    </w:p>
    <w:p w14:paraId="4C40D761" w14:textId="77777777" w:rsidR="00416867" w:rsidRDefault="00416867">
      <w:pPr>
        <w:rPr>
          <w:rFonts w:cs="Calibri"/>
          <w:sz w:val="22"/>
          <w:szCs w:val="24"/>
        </w:rPr>
      </w:pPr>
    </w:p>
    <w:p w14:paraId="6E9372E9" w14:textId="77777777" w:rsidR="00416867" w:rsidRDefault="00416867">
      <w:pPr>
        <w:rPr>
          <w:rFonts w:cs="Calibri"/>
          <w:b/>
          <w:sz w:val="22"/>
          <w:szCs w:val="24"/>
          <w:u w:val="single"/>
        </w:rPr>
      </w:pPr>
      <w:r>
        <w:rPr>
          <w:b/>
          <w:sz w:val="22"/>
          <w:szCs w:val="24"/>
          <w:u w:val="single"/>
        </w:rPr>
        <w:t>SDNP/24/01752/LIS</w:t>
      </w:r>
    </w:p>
    <w:p w14:paraId="29AC4A35" w14:textId="77777777" w:rsidR="00416867" w:rsidRDefault="00416867">
      <w:pPr>
        <w:rPr>
          <w:sz w:val="22"/>
          <w:szCs w:val="24"/>
        </w:rPr>
      </w:pPr>
    </w:p>
    <w:p w14:paraId="51A7ACF1" w14:textId="77777777" w:rsidR="00416867" w:rsidRDefault="00416867">
      <w:pPr>
        <w:rPr>
          <w:sz w:val="22"/>
          <w:szCs w:val="24"/>
        </w:rPr>
      </w:pPr>
      <w:r>
        <w:rPr>
          <w:rFonts w:cs="Calibri"/>
          <w:sz w:val="22"/>
          <w:szCs w:val="24"/>
        </w:rPr>
        <w:t>Consolidation repairs to the former north and south platforms, and former Goods Shed (including replacement roof), installation of 2nr. timber station name signs, repairs to face of existing station access retaining wall, and removal of loose render and fitting of debris netting and fence</w:t>
      </w:r>
    </w:p>
    <w:p w14:paraId="28A283A7" w14:textId="77777777" w:rsidR="00416867" w:rsidRDefault="00416867">
      <w:pPr>
        <w:rPr>
          <w:sz w:val="22"/>
          <w:szCs w:val="24"/>
        </w:rPr>
      </w:pPr>
      <w:r>
        <w:rPr>
          <w:rFonts w:cs="Calibri"/>
          <w:sz w:val="22"/>
          <w:szCs w:val="24"/>
        </w:rPr>
        <w:t xml:space="preserve">At  </w:t>
      </w:r>
    </w:p>
    <w:p w14:paraId="7DA158EF" w14:textId="77777777" w:rsidR="00416867" w:rsidRDefault="00416867">
      <w:pPr>
        <w:rPr>
          <w:rFonts w:cs="Calibri"/>
          <w:sz w:val="22"/>
          <w:szCs w:val="24"/>
        </w:rPr>
      </w:pPr>
    </w:p>
    <w:p w14:paraId="31DDBCAA" w14:textId="77777777" w:rsidR="00416867" w:rsidRDefault="00416867">
      <w:pPr>
        <w:rPr>
          <w:rFonts w:cs="Calibri"/>
          <w:sz w:val="22"/>
          <w:szCs w:val="24"/>
        </w:rPr>
      </w:pPr>
      <w:r>
        <w:rPr>
          <w:sz w:val="22"/>
          <w:szCs w:val="24"/>
        </w:rPr>
        <w:t>Former Singleton Railway Station, A286 The Grinch to Town Lane, West Dean, West Sussex, PO18 0RX</w:t>
      </w:r>
    </w:p>
    <w:p w14:paraId="229B98B5" w14:textId="77777777" w:rsidR="00416867" w:rsidRDefault="00416867">
      <w:pPr>
        <w:rPr>
          <w:sz w:val="22"/>
          <w:szCs w:val="24"/>
        </w:rPr>
      </w:pPr>
    </w:p>
    <w:p w14:paraId="463E0E27" w14:textId="77777777" w:rsidR="00416867" w:rsidRDefault="00416867">
      <w:pPr>
        <w:rPr>
          <w:rFonts w:cs="Calibri"/>
          <w:sz w:val="22"/>
          <w:szCs w:val="24"/>
        </w:rPr>
      </w:pPr>
    </w:p>
    <w:p w14:paraId="55B1C310" w14:textId="77777777" w:rsidR="00416867" w:rsidRDefault="00416867">
      <w:pPr>
        <w:rPr>
          <w:sz w:val="22"/>
          <w:szCs w:val="24"/>
        </w:rPr>
      </w:pPr>
      <w:r>
        <w:rPr>
          <w:b/>
          <w:sz w:val="22"/>
          <w:szCs w:val="24"/>
        </w:rPr>
        <w:t>Validation Date:</w:t>
      </w:r>
      <w:r>
        <w:rPr>
          <w:rFonts w:cs="Calibri"/>
          <w:sz w:val="22"/>
          <w:szCs w:val="24"/>
        </w:rPr>
        <w:tab/>
        <w:t>8 May 2024</w:t>
      </w:r>
    </w:p>
    <w:p w14:paraId="1F950EF0" w14:textId="77777777" w:rsidR="00416867" w:rsidRDefault="00416867">
      <w:pPr>
        <w:rPr>
          <w:rFonts w:cs="Calibri"/>
          <w:sz w:val="22"/>
          <w:szCs w:val="24"/>
        </w:rPr>
      </w:pPr>
    </w:p>
    <w:p w14:paraId="346AC3A9" w14:textId="77777777" w:rsidR="00416867" w:rsidRDefault="00416867">
      <w:pPr>
        <w:rPr>
          <w:sz w:val="22"/>
          <w:szCs w:val="24"/>
        </w:rPr>
      </w:pPr>
      <w:r>
        <w:rPr>
          <w:b/>
          <w:sz w:val="22"/>
          <w:szCs w:val="24"/>
        </w:rPr>
        <w:t>Date of Direction:</w:t>
      </w:r>
      <w:r>
        <w:rPr>
          <w:rFonts w:cs="Calibri"/>
          <w:sz w:val="22"/>
          <w:szCs w:val="24"/>
        </w:rPr>
        <w:t xml:space="preserve"> </w:t>
      </w:r>
      <w:r>
        <w:rPr>
          <w:rFonts w:cs="Calibri"/>
          <w:sz w:val="22"/>
          <w:szCs w:val="24"/>
        </w:rPr>
        <w:tab/>
        <w:t>29 April 2024</w:t>
      </w:r>
    </w:p>
    <w:p w14:paraId="7EE10641" w14:textId="77777777" w:rsidR="00416867" w:rsidRDefault="00416867">
      <w:pPr>
        <w:rPr>
          <w:rFonts w:cs="Calibri"/>
          <w:sz w:val="22"/>
          <w:szCs w:val="24"/>
        </w:rPr>
      </w:pPr>
    </w:p>
    <w:p w14:paraId="19B9DFFB" w14:textId="77777777" w:rsidR="00416867" w:rsidRDefault="00416867">
      <w:pPr>
        <w:rPr>
          <w:rFonts w:cs="Calibri"/>
          <w:b/>
          <w:sz w:val="22"/>
          <w:szCs w:val="24"/>
        </w:rPr>
      </w:pPr>
      <w:r>
        <w:rPr>
          <w:b/>
          <w:sz w:val="22"/>
          <w:szCs w:val="24"/>
        </w:rPr>
        <w:t>Reason for the Direction</w:t>
      </w:r>
    </w:p>
    <w:p w14:paraId="0AD2571C" w14:textId="77777777" w:rsidR="00416867" w:rsidRDefault="00416867">
      <w:pPr>
        <w:rPr>
          <w:rFonts w:cs="Calibri"/>
          <w:sz w:val="22"/>
          <w:szCs w:val="24"/>
        </w:rPr>
      </w:pPr>
      <w:r>
        <w:rPr>
          <w:sz w:val="22"/>
          <w:szCs w:val="24"/>
        </w:rPr>
        <w:t>This listed building application is associated with application SDNP/24/01751/FUL which has been called in because it may have the potential to have a significant impact on the natural beauty, wildlife, and/or cultural heritage of the South Downs National Park and for its understanding and enjoyment, which constitute the two statutory purposes for which the South Downs National Park has been designated.</w:t>
      </w:r>
    </w:p>
    <w:p w14:paraId="4264861E" w14:textId="77777777" w:rsidR="00416867" w:rsidRDefault="00416867">
      <w:pPr>
        <w:rPr>
          <w:sz w:val="22"/>
          <w:szCs w:val="24"/>
        </w:rPr>
      </w:pPr>
    </w:p>
    <w:p w14:paraId="257A088A" w14:textId="77777777" w:rsidR="00416867" w:rsidRDefault="00416867">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"https://planningpublicaccess.southdowns.gov.uk/online-applications/applicationDetails.do?activeTab=summary&amp;keyVal=SCK12XTUG7X00"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55A64F3A" w14:textId="77777777" w:rsidR="00416867" w:rsidRDefault="00416867">
      <w:pPr>
        <w:rPr>
          <w:sz w:val="22"/>
          <w:szCs w:val="24"/>
        </w:rPr>
      </w:pPr>
      <w:r>
        <w:rPr>
          <w:rFonts w:cs="Calibri"/>
          <w:sz w:val="22"/>
          <w:szCs w:val="24"/>
        </w:rPr>
        <w:fldChar w:fldCharType="end"/>
      </w:r>
    </w:p>
    <w:p w14:paraId="683A4DA4" w14:textId="77777777" w:rsidR="00416867" w:rsidRDefault="00416867">
      <w:pPr>
        <w:rPr>
          <w:rFonts w:cs="Calibri"/>
          <w:sz w:val="22"/>
          <w:szCs w:val="24"/>
        </w:rPr>
      </w:pPr>
    </w:p>
    <w:p w14:paraId="1FC18A29" w14:textId="77777777" w:rsidR="00416867" w:rsidRDefault="00416867">
      <w:pPr>
        <w:rPr>
          <w:sz w:val="22"/>
          <w:szCs w:val="24"/>
        </w:rPr>
      </w:pPr>
    </w:p>
    <w:p w14:paraId="5EDE0ADA" w14:textId="77777777" w:rsidR="00416867" w:rsidRDefault="00416867">
      <w:pPr>
        <w:rPr>
          <w:b/>
          <w:sz w:val="22"/>
          <w:szCs w:val="24"/>
          <w:u w:val="single"/>
        </w:rPr>
      </w:pPr>
      <w:r>
        <w:rPr>
          <w:rFonts w:cs="Calibri"/>
          <w:b/>
          <w:sz w:val="22"/>
          <w:szCs w:val="24"/>
          <w:u w:val="single"/>
        </w:rPr>
        <w:t>SDNP/24/01861/DCOND</w:t>
      </w:r>
    </w:p>
    <w:p w14:paraId="075343BC" w14:textId="77777777" w:rsidR="00416867" w:rsidRDefault="00416867">
      <w:pPr>
        <w:rPr>
          <w:rFonts w:cs="Calibri"/>
          <w:sz w:val="22"/>
          <w:szCs w:val="24"/>
        </w:rPr>
      </w:pPr>
    </w:p>
    <w:p w14:paraId="205A4469" w14:textId="77777777" w:rsidR="00416867" w:rsidRDefault="00416867">
      <w:pPr>
        <w:rPr>
          <w:rFonts w:cs="Calibri"/>
          <w:sz w:val="22"/>
          <w:szCs w:val="24"/>
        </w:rPr>
      </w:pPr>
      <w:r>
        <w:rPr>
          <w:sz w:val="22"/>
          <w:szCs w:val="24"/>
        </w:rPr>
        <w:t>Discharge of Condition 51 (Materials and finishes P2-40) for SDNP/22/05768/CND.</w:t>
      </w:r>
    </w:p>
    <w:p w14:paraId="41FF4410" w14:textId="77777777" w:rsidR="00416867" w:rsidRDefault="00416867">
      <w:pPr>
        <w:rPr>
          <w:rFonts w:cs="Calibri"/>
          <w:sz w:val="22"/>
          <w:szCs w:val="24"/>
        </w:rPr>
      </w:pPr>
      <w:r>
        <w:rPr>
          <w:sz w:val="22"/>
          <w:szCs w:val="24"/>
        </w:rPr>
        <w:lastRenderedPageBreak/>
        <w:t xml:space="preserve">At  </w:t>
      </w:r>
    </w:p>
    <w:p w14:paraId="78E3046F" w14:textId="77777777" w:rsidR="00416867" w:rsidRDefault="00416867">
      <w:pPr>
        <w:rPr>
          <w:sz w:val="22"/>
          <w:szCs w:val="24"/>
        </w:rPr>
      </w:pPr>
    </w:p>
    <w:p w14:paraId="382E025F" w14:textId="77777777" w:rsidR="00416867" w:rsidRDefault="00416867">
      <w:pPr>
        <w:rPr>
          <w:sz w:val="22"/>
          <w:szCs w:val="24"/>
        </w:rPr>
      </w:pPr>
      <w:r>
        <w:rPr>
          <w:rFonts w:cs="Calibri"/>
          <w:sz w:val="22"/>
          <w:szCs w:val="24"/>
        </w:rPr>
        <w:t>Plumpton College , Ditchling Road, Plumpton, East Sussex, BN7 3AE</w:t>
      </w:r>
    </w:p>
    <w:p w14:paraId="581DCDA7" w14:textId="77777777" w:rsidR="00416867" w:rsidRDefault="00416867">
      <w:pPr>
        <w:rPr>
          <w:rFonts w:cs="Calibri"/>
          <w:sz w:val="22"/>
          <w:szCs w:val="24"/>
        </w:rPr>
      </w:pPr>
    </w:p>
    <w:p w14:paraId="0A676307" w14:textId="77777777" w:rsidR="00416867" w:rsidRDefault="00416867">
      <w:pPr>
        <w:rPr>
          <w:sz w:val="22"/>
          <w:szCs w:val="24"/>
        </w:rPr>
      </w:pPr>
    </w:p>
    <w:p w14:paraId="3B4EB17A" w14:textId="77777777" w:rsidR="00416867" w:rsidRDefault="00416867">
      <w:pPr>
        <w:rPr>
          <w:rFonts w:cs="Calibri"/>
          <w:sz w:val="22"/>
          <w:szCs w:val="24"/>
        </w:rPr>
      </w:pPr>
      <w:r>
        <w:rPr>
          <w:rFonts w:cs="Calibri"/>
          <w:b/>
          <w:sz w:val="22"/>
          <w:szCs w:val="24"/>
        </w:rPr>
        <w:t>Validation Date:</w:t>
      </w:r>
      <w:r>
        <w:rPr>
          <w:sz w:val="22"/>
          <w:szCs w:val="24"/>
        </w:rPr>
        <w:tab/>
        <w:t>7 May 2024</w:t>
      </w:r>
    </w:p>
    <w:p w14:paraId="54FB560F" w14:textId="77777777" w:rsidR="00416867" w:rsidRDefault="00416867">
      <w:pPr>
        <w:rPr>
          <w:sz w:val="22"/>
          <w:szCs w:val="24"/>
        </w:rPr>
      </w:pPr>
    </w:p>
    <w:p w14:paraId="492154E4" w14:textId="77777777" w:rsidR="00416867" w:rsidRDefault="00416867">
      <w:pPr>
        <w:rPr>
          <w:rFonts w:cs="Calibri"/>
          <w:sz w:val="22"/>
          <w:szCs w:val="24"/>
        </w:rPr>
      </w:pPr>
      <w:r>
        <w:rPr>
          <w:rFonts w:cs="Calibri"/>
          <w:b/>
          <w:sz w:val="22"/>
          <w:szCs w:val="24"/>
        </w:rPr>
        <w:t>Date of Direction:</w:t>
      </w:r>
      <w:r>
        <w:rPr>
          <w:sz w:val="22"/>
          <w:szCs w:val="24"/>
        </w:rPr>
        <w:t xml:space="preserve"> </w:t>
      </w:r>
      <w:r>
        <w:rPr>
          <w:sz w:val="22"/>
          <w:szCs w:val="24"/>
        </w:rPr>
        <w:tab/>
        <w:t xml:space="preserve">No call in required. </w:t>
      </w:r>
    </w:p>
    <w:p w14:paraId="1EC287B2" w14:textId="77777777" w:rsidR="00416867" w:rsidRDefault="00416867">
      <w:pPr>
        <w:rPr>
          <w:sz w:val="22"/>
          <w:szCs w:val="24"/>
        </w:rPr>
      </w:pPr>
    </w:p>
    <w:p w14:paraId="27DC7B7A" w14:textId="77777777" w:rsidR="00416867" w:rsidRDefault="00416867">
      <w:pPr>
        <w:rPr>
          <w:b/>
          <w:sz w:val="22"/>
          <w:szCs w:val="24"/>
        </w:rPr>
      </w:pPr>
      <w:r>
        <w:rPr>
          <w:rFonts w:cs="Calibri"/>
          <w:b/>
          <w:sz w:val="22"/>
          <w:szCs w:val="24"/>
        </w:rPr>
        <w:t>Reason for the Direction</w:t>
      </w:r>
    </w:p>
    <w:p w14:paraId="5079B98E" w14:textId="77777777" w:rsidR="00416867" w:rsidRDefault="00416867">
      <w:pPr>
        <w:rPr>
          <w:rFonts w:cs="Calibri"/>
          <w:sz w:val="22"/>
          <w:szCs w:val="24"/>
        </w:rPr>
      </w:pPr>
    </w:p>
    <w:p w14:paraId="68D06C4D" w14:textId="77777777" w:rsidR="00416867" w:rsidRDefault="00416867">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"https://planningpublicaccess.southdowns.gov.uk/online-applications/applicationDetails.do?activeTab=summary&amp;keyVal=SCWG88TUGEH00"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1ED7BF82" w14:textId="77777777" w:rsidR="00416867" w:rsidRDefault="00416867">
      <w:pPr>
        <w:rPr>
          <w:rFonts w:cs="Calibri"/>
          <w:sz w:val="22"/>
          <w:szCs w:val="24"/>
        </w:rPr>
      </w:pPr>
      <w:r>
        <w:rPr>
          <w:sz w:val="22"/>
          <w:szCs w:val="24"/>
        </w:rPr>
        <w:fldChar w:fldCharType="end"/>
      </w:r>
    </w:p>
    <w:p w14:paraId="55DAA987" w14:textId="77777777" w:rsidR="00416867" w:rsidRDefault="00416867">
      <w:pPr>
        <w:rPr>
          <w:sz w:val="22"/>
          <w:szCs w:val="24"/>
        </w:rPr>
      </w:pPr>
    </w:p>
    <w:p w14:paraId="40A68EF0" w14:textId="77777777" w:rsidR="00416867" w:rsidRDefault="00416867">
      <w:pPr>
        <w:rPr>
          <w:rFonts w:cs="Calibri"/>
          <w:sz w:val="22"/>
          <w:szCs w:val="24"/>
        </w:rPr>
      </w:pPr>
    </w:p>
    <w:sectPr w:rsidR="00000000">
      <w:footerReference w:type="first" r:id="rId7"/>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D7AB8" w14:textId="77777777" w:rsidR="00416867" w:rsidRDefault="00416867">
      <w:r>
        <w:separator/>
      </w:r>
    </w:p>
  </w:endnote>
  <w:endnote w:type="continuationSeparator" w:id="0">
    <w:p w14:paraId="091E58C0" w14:textId="77777777" w:rsidR="00416867" w:rsidRDefault="0041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8142" w14:textId="77777777" w:rsidR="00416867" w:rsidRDefault="00416867">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E5498" w14:textId="77777777" w:rsidR="00416867" w:rsidRDefault="00416867">
      <w:r>
        <w:separator/>
      </w:r>
    </w:p>
  </w:footnote>
  <w:footnote w:type="continuationSeparator" w:id="0">
    <w:p w14:paraId="071424E6" w14:textId="77777777" w:rsidR="00416867" w:rsidRDefault="00416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416867"/>
    <w:rsid w:val="00416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045A2"/>
  <w14:defaultImageDpi w14:val="0"/>
  <w15:docId w15:val="{D59474DC-961A-4C9E-A6D5-308325C3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2024-05-13T17:43:00Z</dcterms:created>
  <dcterms:modified xsi:type="dcterms:W3CDTF">2024-05-13T17:43:00Z</dcterms:modified>
</cp:coreProperties>
</file>