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67" w:rsidRDefault="00022D67">
      <w:pPr>
        <w:rPr>
          <w:sz w:val="22"/>
          <w:szCs w:val="24"/>
        </w:rPr>
      </w:pPr>
      <w:bookmarkStart w:id="0" w:name="_GoBack"/>
      <w:bookmarkEnd w:id="0"/>
    </w:p>
    <w:p w:rsidR="00022D67" w:rsidRDefault="00022D67">
      <w:pPr>
        <w:rPr>
          <w:rFonts w:cs="Calibri"/>
          <w:sz w:val="22"/>
          <w:szCs w:val="24"/>
        </w:rPr>
      </w:pPr>
    </w:p>
    <w:p w:rsidR="00022D67" w:rsidRPr="00BA6204" w:rsidRDefault="00022D67">
      <w:pPr>
        <w:rPr>
          <w:rFonts w:cs="Calibri"/>
          <w:b/>
          <w:sz w:val="22"/>
          <w:szCs w:val="24"/>
        </w:rPr>
      </w:pPr>
      <w:r w:rsidRPr="00BA6204">
        <w:rPr>
          <w:b/>
          <w:sz w:val="22"/>
          <w:szCs w:val="24"/>
        </w:rPr>
        <w:t>List of called in applications for the week ending 19.04.2021</w:t>
      </w:r>
    </w:p>
    <w:p w:rsidR="00022D67" w:rsidRDefault="00022D67">
      <w:pPr>
        <w:rPr>
          <w:sz w:val="22"/>
          <w:szCs w:val="24"/>
        </w:rPr>
      </w:pPr>
    </w:p>
    <w:p w:rsidR="00022D67" w:rsidRDefault="00022D67">
      <w:pPr>
        <w:rPr>
          <w:rFonts w:cs="Calibri"/>
          <w:sz w:val="22"/>
          <w:szCs w:val="24"/>
        </w:rPr>
      </w:pPr>
    </w:p>
    <w:p w:rsidR="00022D67" w:rsidRDefault="00022D67">
      <w:pPr>
        <w:rPr>
          <w:rFonts w:cs="Calibri"/>
          <w:b/>
          <w:sz w:val="22"/>
          <w:szCs w:val="24"/>
          <w:u w:val="single"/>
        </w:rPr>
      </w:pPr>
      <w:r>
        <w:rPr>
          <w:b/>
          <w:sz w:val="22"/>
          <w:szCs w:val="24"/>
          <w:u w:val="single"/>
        </w:rPr>
        <w:t>SDNP/20/00576/FUL</w:t>
      </w:r>
    </w:p>
    <w:p w:rsidR="00022D67" w:rsidRDefault="00022D67">
      <w:pPr>
        <w:rPr>
          <w:sz w:val="22"/>
          <w:szCs w:val="24"/>
        </w:rPr>
      </w:pPr>
    </w:p>
    <w:p w:rsidR="00022D67" w:rsidRDefault="00022D67">
      <w:pPr>
        <w:rPr>
          <w:sz w:val="22"/>
          <w:szCs w:val="24"/>
        </w:rPr>
      </w:pPr>
      <w:r>
        <w:rPr>
          <w:rFonts w:cs="Calibri"/>
          <w:sz w:val="22"/>
          <w:szCs w:val="24"/>
        </w:rPr>
        <w:t>Change of use of redundant stables and courtyard to Holiday lets &amp; conversion of former dairy to ancillary annexe living accommodation to Sumaya House. Erection of new modern stabling block for horses &amp; conversion of Hovel to club room in connection with existing equestrian Polo training use.</w:t>
      </w:r>
    </w:p>
    <w:p w:rsidR="00022D67" w:rsidRDefault="00022D67">
      <w:pPr>
        <w:rPr>
          <w:sz w:val="22"/>
          <w:szCs w:val="24"/>
        </w:rPr>
      </w:pPr>
      <w:r>
        <w:rPr>
          <w:rFonts w:cs="Calibri"/>
          <w:sz w:val="22"/>
          <w:szCs w:val="24"/>
        </w:rPr>
        <w:t xml:space="preserve">At  </w:t>
      </w:r>
    </w:p>
    <w:p w:rsidR="00022D67" w:rsidRDefault="00022D67">
      <w:pPr>
        <w:rPr>
          <w:rFonts w:cs="Calibri"/>
          <w:sz w:val="22"/>
          <w:szCs w:val="24"/>
        </w:rPr>
      </w:pPr>
    </w:p>
    <w:p w:rsidR="00022D67" w:rsidRDefault="00022D67">
      <w:pPr>
        <w:rPr>
          <w:rFonts w:cs="Calibri"/>
          <w:sz w:val="22"/>
          <w:szCs w:val="24"/>
        </w:rPr>
      </w:pPr>
      <w:r>
        <w:rPr>
          <w:sz w:val="22"/>
          <w:szCs w:val="24"/>
        </w:rPr>
        <w:t>Burton Mill Farm , Burton Park Road, Barlavington, GU28 0JR</w:t>
      </w:r>
    </w:p>
    <w:p w:rsidR="00022D67" w:rsidRDefault="00022D67">
      <w:pPr>
        <w:rPr>
          <w:sz w:val="22"/>
          <w:szCs w:val="24"/>
        </w:rPr>
      </w:pPr>
    </w:p>
    <w:p w:rsidR="00022D67" w:rsidRDefault="00022D67">
      <w:pPr>
        <w:rPr>
          <w:rFonts w:cs="Calibri"/>
          <w:sz w:val="22"/>
          <w:szCs w:val="24"/>
        </w:rPr>
      </w:pPr>
    </w:p>
    <w:p w:rsidR="00022D67" w:rsidRDefault="00022D67">
      <w:pPr>
        <w:rPr>
          <w:sz w:val="22"/>
          <w:szCs w:val="24"/>
        </w:rPr>
      </w:pPr>
      <w:r>
        <w:rPr>
          <w:b/>
          <w:sz w:val="22"/>
          <w:szCs w:val="24"/>
        </w:rPr>
        <w:t>Validation Date:</w:t>
      </w:r>
      <w:r>
        <w:rPr>
          <w:rFonts w:cs="Calibri"/>
          <w:sz w:val="22"/>
          <w:szCs w:val="24"/>
        </w:rPr>
        <w:tab/>
        <w:t>12 April 2021</w:t>
      </w:r>
    </w:p>
    <w:p w:rsidR="00022D67" w:rsidRDefault="00022D67">
      <w:pPr>
        <w:rPr>
          <w:rFonts w:cs="Calibri"/>
          <w:sz w:val="22"/>
          <w:szCs w:val="24"/>
        </w:rPr>
      </w:pPr>
    </w:p>
    <w:p w:rsidR="00022D67" w:rsidRDefault="00022D67">
      <w:pPr>
        <w:rPr>
          <w:sz w:val="22"/>
          <w:szCs w:val="24"/>
        </w:rPr>
      </w:pPr>
      <w:r>
        <w:rPr>
          <w:b/>
          <w:sz w:val="22"/>
          <w:szCs w:val="24"/>
        </w:rPr>
        <w:t>Date of Direction:</w:t>
      </w:r>
      <w:r>
        <w:rPr>
          <w:rFonts w:cs="Calibri"/>
          <w:sz w:val="22"/>
          <w:szCs w:val="24"/>
        </w:rPr>
        <w:t xml:space="preserve"> </w:t>
      </w:r>
      <w:r>
        <w:rPr>
          <w:rFonts w:cs="Calibri"/>
          <w:sz w:val="22"/>
          <w:szCs w:val="24"/>
        </w:rPr>
        <w:tab/>
      </w:r>
    </w:p>
    <w:p w:rsidR="00022D67" w:rsidRDefault="00022D67">
      <w:pPr>
        <w:rPr>
          <w:rFonts w:cs="Calibri"/>
          <w:sz w:val="22"/>
          <w:szCs w:val="24"/>
        </w:rPr>
      </w:pPr>
    </w:p>
    <w:p w:rsidR="00022D67" w:rsidRDefault="00022D67">
      <w:pPr>
        <w:rPr>
          <w:rFonts w:cs="Calibri"/>
          <w:b/>
          <w:sz w:val="22"/>
          <w:szCs w:val="24"/>
        </w:rPr>
      </w:pPr>
      <w:r>
        <w:rPr>
          <w:b/>
          <w:sz w:val="22"/>
          <w:szCs w:val="24"/>
        </w:rPr>
        <w:t>Reason for the Direction</w:t>
      </w:r>
    </w:p>
    <w:p w:rsidR="00022D67" w:rsidRDefault="00022D67">
      <w:pPr>
        <w:rPr>
          <w:rFonts w:cs="Calibri"/>
          <w:sz w:val="22"/>
          <w:szCs w:val="24"/>
        </w:rPr>
      </w:pPr>
      <w:r>
        <w:rPr>
          <w:sz w:val="22"/>
          <w:szCs w:val="24"/>
        </w:rPr>
        <w:t>The SDNPA proposes to determine the above planning application itself given the need to balance considerations regarding any impacts on the natural beauty, wildlife and cultural heritage of the National Park as a result of the proposals against any opportunities that a tourism use may bring for understanding and enjoyment of its special qualities by the public.  Such an assessment in balancing the first two purposes of National Park designation is potentially of significance to the SDNPA.</w:t>
      </w:r>
    </w:p>
    <w:p w:rsidR="00022D67" w:rsidRDefault="00022D67">
      <w:pPr>
        <w:rPr>
          <w:sz w:val="22"/>
          <w:szCs w:val="24"/>
        </w:rPr>
      </w:pPr>
    </w:p>
    <w:p w:rsidR="00022D67" w:rsidRDefault="00BA6204">
      <w:pPr>
        <w:rPr>
          <w:sz w:val="22"/>
          <w:szCs w:val="24"/>
        </w:rPr>
      </w:pPr>
      <w:hyperlink r:id="rId6" w:history="1">
        <w:r w:rsidR="00022D67" w:rsidRPr="00BA6204">
          <w:rPr>
            <w:rStyle w:val="Hyperlink"/>
            <w:rFonts w:ascii="Gill Sans MT" w:hAnsi="Gill Sans MT" w:cs="Calibri"/>
            <w:sz w:val="22"/>
            <w:szCs w:val="24"/>
          </w:rPr>
          <w:t>View the case on public access</w:t>
        </w:r>
      </w:hyperlink>
    </w:p>
    <w:p w:rsidR="00022D67" w:rsidRDefault="00022D67">
      <w:pPr>
        <w:rPr>
          <w:rFonts w:cs="Calibri"/>
          <w:sz w:val="22"/>
          <w:szCs w:val="24"/>
        </w:rPr>
      </w:pPr>
    </w:p>
    <w:p w:rsidR="00BA6204" w:rsidRDefault="00BA6204">
      <w:pPr>
        <w:rPr>
          <w:rFonts w:cs="Calibri"/>
          <w:sz w:val="22"/>
          <w:szCs w:val="24"/>
        </w:rPr>
      </w:pPr>
    </w:p>
    <w:p w:rsidR="00022D67" w:rsidRDefault="00022D67">
      <w:pPr>
        <w:rPr>
          <w:rFonts w:cs="Calibri"/>
          <w:b/>
          <w:sz w:val="22"/>
          <w:szCs w:val="24"/>
          <w:u w:val="single"/>
        </w:rPr>
      </w:pPr>
      <w:r>
        <w:rPr>
          <w:b/>
          <w:sz w:val="22"/>
          <w:szCs w:val="24"/>
          <w:u w:val="single"/>
        </w:rPr>
        <w:t>SDNP/21/01069/FUL</w:t>
      </w:r>
    </w:p>
    <w:p w:rsidR="00022D67" w:rsidRDefault="00022D67">
      <w:pPr>
        <w:rPr>
          <w:sz w:val="22"/>
          <w:szCs w:val="24"/>
        </w:rPr>
      </w:pPr>
    </w:p>
    <w:p w:rsidR="00022D67" w:rsidRDefault="00022D67">
      <w:pPr>
        <w:rPr>
          <w:sz w:val="22"/>
          <w:szCs w:val="24"/>
        </w:rPr>
      </w:pPr>
      <w:r>
        <w:rPr>
          <w:rFonts w:cs="Calibri"/>
          <w:sz w:val="22"/>
          <w:szCs w:val="24"/>
        </w:rPr>
        <w:t>Planning Application for the installation of external louvers associated with the provision of new plant and equipment</w:t>
      </w:r>
    </w:p>
    <w:p w:rsidR="00022D67" w:rsidRDefault="00022D67">
      <w:pPr>
        <w:rPr>
          <w:sz w:val="22"/>
          <w:szCs w:val="24"/>
        </w:rPr>
      </w:pPr>
      <w:r>
        <w:rPr>
          <w:rFonts w:cs="Calibri"/>
          <w:sz w:val="22"/>
          <w:szCs w:val="24"/>
        </w:rPr>
        <w:t xml:space="preserve">At  </w:t>
      </w:r>
    </w:p>
    <w:p w:rsidR="00022D67" w:rsidRDefault="00022D67">
      <w:pPr>
        <w:rPr>
          <w:rFonts w:cs="Calibri"/>
          <w:sz w:val="22"/>
          <w:szCs w:val="24"/>
        </w:rPr>
      </w:pPr>
    </w:p>
    <w:p w:rsidR="00022D67" w:rsidRDefault="00022D67">
      <w:pPr>
        <w:rPr>
          <w:rFonts w:cs="Calibri"/>
          <w:sz w:val="22"/>
          <w:szCs w:val="24"/>
        </w:rPr>
      </w:pPr>
      <w:r>
        <w:rPr>
          <w:sz w:val="22"/>
          <w:szCs w:val="24"/>
        </w:rPr>
        <w:t>Oaklands Farm , Green Street, East Worldham, Bordon, GU34 3AU</w:t>
      </w:r>
    </w:p>
    <w:p w:rsidR="00022D67" w:rsidRDefault="00022D67">
      <w:pPr>
        <w:rPr>
          <w:sz w:val="22"/>
          <w:szCs w:val="24"/>
        </w:rPr>
      </w:pPr>
    </w:p>
    <w:p w:rsidR="00022D67" w:rsidRDefault="00022D67">
      <w:pPr>
        <w:rPr>
          <w:rFonts w:cs="Calibri"/>
          <w:sz w:val="22"/>
          <w:szCs w:val="24"/>
        </w:rPr>
      </w:pPr>
    </w:p>
    <w:p w:rsidR="00022D67" w:rsidRDefault="00022D67">
      <w:pPr>
        <w:rPr>
          <w:sz w:val="22"/>
          <w:szCs w:val="24"/>
        </w:rPr>
      </w:pPr>
      <w:r>
        <w:rPr>
          <w:b/>
          <w:sz w:val="22"/>
          <w:szCs w:val="24"/>
        </w:rPr>
        <w:t>Validation Date:</w:t>
      </w:r>
      <w:r>
        <w:rPr>
          <w:rFonts w:cs="Calibri"/>
          <w:sz w:val="22"/>
          <w:szCs w:val="24"/>
        </w:rPr>
        <w:tab/>
        <w:t>12 April 2021</w:t>
      </w:r>
    </w:p>
    <w:p w:rsidR="00022D67" w:rsidRDefault="00022D67">
      <w:pPr>
        <w:rPr>
          <w:rFonts w:cs="Calibri"/>
          <w:sz w:val="22"/>
          <w:szCs w:val="24"/>
        </w:rPr>
      </w:pPr>
    </w:p>
    <w:p w:rsidR="00022D67" w:rsidRDefault="00022D67">
      <w:pPr>
        <w:rPr>
          <w:sz w:val="22"/>
          <w:szCs w:val="24"/>
        </w:rPr>
      </w:pPr>
      <w:r>
        <w:rPr>
          <w:b/>
          <w:sz w:val="22"/>
          <w:szCs w:val="24"/>
        </w:rPr>
        <w:t>Date of Direction:</w:t>
      </w:r>
      <w:r>
        <w:rPr>
          <w:rFonts w:cs="Calibri"/>
          <w:sz w:val="22"/>
          <w:szCs w:val="24"/>
        </w:rPr>
        <w:t xml:space="preserve"> </w:t>
      </w:r>
      <w:r>
        <w:rPr>
          <w:rFonts w:cs="Calibri"/>
          <w:sz w:val="22"/>
          <w:szCs w:val="24"/>
        </w:rPr>
        <w:tab/>
        <w:t>2 March 2021</w:t>
      </w:r>
    </w:p>
    <w:p w:rsidR="00022D67" w:rsidRDefault="00022D67">
      <w:pPr>
        <w:rPr>
          <w:rFonts w:cs="Calibri"/>
          <w:sz w:val="22"/>
          <w:szCs w:val="24"/>
        </w:rPr>
      </w:pPr>
    </w:p>
    <w:p w:rsidR="00022D67" w:rsidRDefault="00022D67">
      <w:pPr>
        <w:rPr>
          <w:rFonts w:cs="Calibri"/>
          <w:b/>
          <w:sz w:val="22"/>
          <w:szCs w:val="24"/>
        </w:rPr>
      </w:pPr>
      <w:r>
        <w:rPr>
          <w:b/>
          <w:sz w:val="22"/>
          <w:szCs w:val="24"/>
        </w:rPr>
        <w:t>Reason for the Direction</w:t>
      </w:r>
    </w:p>
    <w:p w:rsidR="00022D67" w:rsidRDefault="00022D67">
      <w:pPr>
        <w:rPr>
          <w:rFonts w:cs="Calibri"/>
          <w:sz w:val="22"/>
          <w:szCs w:val="24"/>
        </w:rPr>
      </w:pPr>
      <w:r>
        <w:rPr>
          <w:sz w:val="22"/>
          <w:szCs w:val="24"/>
        </w:rPr>
        <w:t>This proposal relates to a site previously dealt with by the SDNPA.  For reasons of consistency, the SDNPA will also deal with this application in-house.</w:t>
      </w:r>
    </w:p>
    <w:p w:rsidR="00022D67" w:rsidRDefault="00022D67">
      <w:pPr>
        <w:rPr>
          <w:sz w:val="22"/>
          <w:szCs w:val="24"/>
        </w:rPr>
      </w:pPr>
    </w:p>
    <w:p w:rsidR="00022D67" w:rsidRDefault="00BA6204">
      <w:pPr>
        <w:rPr>
          <w:sz w:val="22"/>
          <w:szCs w:val="24"/>
        </w:rPr>
      </w:pPr>
      <w:hyperlink r:id="rId7" w:history="1">
        <w:r w:rsidR="00022D67" w:rsidRPr="00BA6204">
          <w:rPr>
            <w:rStyle w:val="Hyperlink"/>
            <w:rFonts w:ascii="Gill Sans MT" w:hAnsi="Gill Sans MT" w:cs="Calibri"/>
            <w:sz w:val="22"/>
            <w:szCs w:val="24"/>
          </w:rPr>
          <w:t>View the case on public access</w:t>
        </w:r>
      </w:hyperlink>
    </w:p>
    <w:p w:rsidR="00022D67" w:rsidRDefault="00022D67">
      <w:pPr>
        <w:rPr>
          <w:sz w:val="22"/>
          <w:szCs w:val="24"/>
        </w:rPr>
      </w:pPr>
    </w:p>
    <w:p w:rsidR="00022D67" w:rsidRDefault="00022D67">
      <w:pPr>
        <w:rPr>
          <w:rFonts w:cs="Calibri"/>
          <w:sz w:val="22"/>
          <w:szCs w:val="24"/>
        </w:rPr>
      </w:pPr>
    </w:p>
    <w:p w:rsidR="00BA6204" w:rsidRDefault="00BA6204">
      <w:pPr>
        <w:rPr>
          <w:b/>
          <w:sz w:val="22"/>
          <w:szCs w:val="24"/>
          <w:u w:val="single"/>
        </w:rPr>
      </w:pPr>
    </w:p>
    <w:p w:rsidR="00BA6204" w:rsidRDefault="00BA6204">
      <w:pPr>
        <w:rPr>
          <w:b/>
          <w:sz w:val="22"/>
          <w:szCs w:val="24"/>
          <w:u w:val="single"/>
        </w:rPr>
      </w:pPr>
    </w:p>
    <w:p w:rsidR="00BA6204" w:rsidRDefault="00BA6204">
      <w:pPr>
        <w:rPr>
          <w:b/>
          <w:sz w:val="22"/>
          <w:szCs w:val="24"/>
          <w:u w:val="single"/>
        </w:rPr>
      </w:pPr>
    </w:p>
    <w:p w:rsidR="00BA6204" w:rsidRDefault="00BA6204">
      <w:pPr>
        <w:rPr>
          <w:b/>
          <w:sz w:val="22"/>
          <w:szCs w:val="24"/>
          <w:u w:val="single"/>
        </w:rPr>
      </w:pPr>
    </w:p>
    <w:p w:rsidR="00BA6204" w:rsidRDefault="00BA6204">
      <w:pPr>
        <w:rPr>
          <w:b/>
          <w:sz w:val="22"/>
          <w:szCs w:val="24"/>
          <w:u w:val="single"/>
        </w:rPr>
      </w:pPr>
    </w:p>
    <w:p w:rsidR="00BA6204" w:rsidRDefault="00BA6204">
      <w:pPr>
        <w:rPr>
          <w:b/>
          <w:sz w:val="22"/>
          <w:szCs w:val="24"/>
          <w:u w:val="single"/>
        </w:rPr>
      </w:pPr>
    </w:p>
    <w:p w:rsidR="00BA6204" w:rsidRDefault="00BA6204">
      <w:pPr>
        <w:rPr>
          <w:b/>
          <w:sz w:val="22"/>
          <w:szCs w:val="24"/>
          <w:u w:val="single"/>
        </w:rPr>
      </w:pPr>
    </w:p>
    <w:p w:rsidR="00BA6204" w:rsidRDefault="00BA6204">
      <w:pPr>
        <w:rPr>
          <w:b/>
          <w:sz w:val="22"/>
          <w:szCs w:val="24"/>
          <w:u w:val="single"/>
        </w:rPr>
      </w:pPr>
    </w:p>
    <w:p w:rsidR="00BA6204" w:rsidRDefault="00BA6204">
      <w:pPr>
        <w:rPr>
          <w:b/>
          <w:sz w:val="22"/>
          <w:szCs w:val="24"/>
          <w:u w:val="single"/>
        </w:rPr>
      </w:pPr>
    </w:p>
    <w:p w:rsidR="00BA6204" w:rsidRDefault="00BA6204">
      <w:pPr>
        <w:rPr>
          <w:b/>
          <w:sz w:val="22"/>
          <w:szCs w:val="24"/>
          <w:u w:val="single"/>
        </w:rPr>
      </w:pPr>
    </w:p>
    <w:p w:rsidR="00022D67" w:rsidRDefault="00022D67">
      <w:pPr>
        <w:rPr>
          <w:rFonts w:cs="Calibri"/>
          <w:b/>
          <w:sz w:val="22"/>
          <w:szCs w:val="24"/>
          <w:u w:val="single"/>
        </w:rPr>
      </w:pPr>
      <w:r>
        <w:rPr>
          <w:b/>
          <w:sz w:val="22"/>
          <w:szCs w:val="24"/>
          <w:u w:val="single"/>
        </w:rPr>
        <w:t>SDNP/21/01743/FUL</w:t>
      </w:r>
    </w:p>
    <w:p w:rsidR="00022D67" w:rsidRDefault="00022D67">
      <w:pPr>
        <w:rPr>
          <w:sz w:val="22"/>
          <w:szCs w:val="24"/>
        </w:rPr>
      </w:pPr>
    </w:p>
    <w:p w:rsidR="00022D67" w:rsidRDefault="00022D67">
      <w:pPr>
        <w:rPr>
          <w:sz w:val="22"/>
          <w:szCs w:val="24"/>
        </w:rPr>
      </w:pPr>
      <w:r>
        <w:rPr>
          <w:rFonts w:cs="Calibri"/>
          <w:sz w:val="22"/>
          <w:szCs w:val="24"/>
        </w:rPr>
        <w:t>Demolition of existing village hall and construction of 2no. 4 bedroom detached houses with associated car parking and landscaping.</w:t>
      </w:r>
    </w:p>
    <w:p w:rsidR="00022D67" w:rsidRDefault="00022D67">
      <w:pPr>
        <w:rPr>
          <w:sz w:val="22"/>
          <w:szCs w:val="24"/>
        </w:rPr>
      </w:pPr>
      <w:r>
        <w:rPr>
          <w:rFonts w:cs="Calibri"/>
          <w:sz w:val="22"/>
          <w:szCs w:val="24"/>
        </w:rPr>
        <w:t xml:space="preserve">At  </w:t>
      </w:r>
    </w:p>
    <w:p w:rsidR="00022D67" w:rsidRDefault="00022D67">
      <w:pPr>
        <w:rPr>
          <w:rFonts w:cs="Calibri"/>
          <w:sz w:val="22"/>
          <w:szCs w:val="24"/>
        </w:rPr>
      </w:pPr>
    </w:p>
    <w:p w:rsidR="00022D67" w:rsidRDefault="00022D67">
      <w:pPr>
        <w:rPr>
          <w:rFonts w:cs="Calibri"/>
          <w:sz w:val="22"/>
          <w:szCs w:val="24"/>
        </w:rPr>
      </w:pPr>
      <w:r>
        <w:rPr>
          <w:sz w:val="22"/>
          <w:szCs w:val="24"/>
        </w:rPr>
        <w:t>The Henry Warren Club , Nyewood Road, Nyewood, South Harting, GU31 5JE</w:t>
      </w:r>
    </w:p>
    <w:p w:rsidR="00022D67" w:rsidRDefault="00022D67">
      <w:pPr>
        <w:rPr>
          <w:sz w:val="22"/>
          <w:szCs w:val="24"/>
        </w:rPr>
      </w:pPr>
    </w:p>
    <w:p w:rsidR="00022D67" w:rsidRDefault="00022D67">
      <w:pPr>
        <w:rPr>
          <w:rFonts w:cs="Calibri"/>
          <w:sz w:val="22"/>
          <w:szCs w:val="24"/>
        </w:rPr>
      </w:pPr>
    </w:p>
    <w:p w:rsidR="00022D67" w:rsidRDefault="00022D67">
      <w:pPr>
        <w:rPr>
          <w:sz w:val="22"/>
          <w:szCs w:val="24"/>
        </w:rPr>
      </w:pPr>
      <w:r>
        <w:rPr>
          <w:b/>
          <w:sz w:val="22"/>
          <w:szCs w:val="24"/>
        </w:rPr>
        <w:t>Validation Date:</w:t>
      </w:r>
      <w:r>
        <w:rPr>
          <w:rFonts w:cs="Calibri"/>
          <w:sz w:val="22"/>
          <w:szCs w:val="24"/>
        </w:rPr>
        <w:tab/>
        <w:t>12 April 2021</w:t>
      </w:r>
    </w:p>
    <w:p w:rsidR="00022D67" w:rsidRDefault="00022D67">
      <w:pPr>
        <w:rPr>
          <w:rFonts w:cs="Calibri"/>
          <w:sz w:val="22"/>
          <w:szCs w:val="24"/>
        </w:rPr>
      </w:pPr>
    </w:p>
    <w:p w:rsidR="00022D67" w:rsidRDefault="00022D67">
      <w:pPr>
        <w:rPr>
          <w:sz w:val="22"/>
          <w:szCs w:val="24"/>
        </w:rPr>
      </w:pPr>
      <w:r>
        <w:rPr>
          <w:b/>
          <w:sz w:val="22"/>
          <w:szCs w:val="24"/>
        </w:rPr>
        <w:t>Date of Direction:</w:t>
      </w:r>
      <w:r>
        <w:rPr>
          <w:rFonts w:cs="Calibri"/>
          <w:sz w:val="22"/>
          <w:szCs w:val="24"/>
        </w:rPr>
        <w:t xml:space="preserve"> </w:t>
      </w:r>
      <w:r>
        <w:rPr>
          <w:rFonts w:cs="Calibri"/>
          <w:sz w:val="22"/>
          <w:szCs w:val="24"/>
        </w:rPr>
        <w:tab/>
        <w:t>30 March 2021</w:t>
      </w:r>
    </w:p>
    <w:p w:rsidR="00022D67" w:rsidRDefault="00022D67">
      <w:pPr>
        <w:rPr>
          <w:rFonts w:cs="Calibri"/>
          <w:sz w:val="22"/>
          <w:szCs w:val="24"/>
        </w:rPr>
      </w:pPr>
    </w:p>
    <w:p w:rsidR="00022D67" w:rsidRDefault="00022D67">
      <w:pPr>
        <w:rPr>
          <w:rFonts w:cs="Calibri"/>
          <w:b/>
          <w:sz w:val="22"/>
          <w:szCs w:val="24"/>
        </w:rPr>
      </w:pPr>
      <w:r>
        <w:rPr>
          <w:b/>
          <w:sz w:val="22"/>
          <w:szCs w:val="24"/>
        </w:rPr>
        <w:t>Reason for the Direction</w:t>
      </w:r>
    </w:p>
    <w:p w:rsidR="00022D67" w:rsidRDefault="00022D67">
      <w:pPr>
        <w:rPr>
          <w:rFonts w:cs="Calibri"/>
          <w:sz w:val="22"/>
          <w:szCs w:val="24"/>
        </w:rPr>
      </w:pPr>
      <w:r>
        <w:rPr>
          <w:sz w:val="22"/>
          <w:szCs w:val="24"/>
        </w:rPr>
        <w:t>The proposal relates to a site where a previous application for two dwellings, with a replacement village hall on a new site (SDNP/18/05385/FUL) was called in to be handled by the SDNPA. For reasons of consistency the current application is also being called in.</w:t>
      </w:r>
    </w:p>
    <w:p w:rsidR="00022D67" w:rsidRDefault="00022D67">
      <w:pPr>
        <w:rPr>
          <w:sz w:val="22"/>
          <w:szCs w:val="24"/>
        </w:rPr>
      </w:pPr>
    </w:p>
    <w:p w:rsidR="00022D67" w:rsidRDefault="00BA6204">
      <w:pPr>
        <w:rPr>
          <w:sz w:val="22"/>
          <w:szCs w:val="24"/>
        </w:rPr>
      </w:pPr>
      <w:hyperlink r:id="rId8" w:history="1">
        <w:r w:rsidR="00022D67" w:rsidRPr="00BA6204">
          <w:rPr>
            <w:rStyle w:val="Hyperlink"/>
            <w:rFonts w:ascii="Gill Sans MT" w:hAnsi="Gill Sans MT" w:cs="Calibri"/>
            <w:sz w:val="22"/>
            <w:szCs w:val="24"/>
          </w:rPr>
          <w:t>View the case on public access</w:t>
        </w:r>
      </w:hyperlink>
    </w:p>
    <w:p w:rsidR="00022D67" w:rsidRDefault="00022D67">
      <w:pPr>
        <w:rPr>
          <w:sz w:val="22"/>
          <w:szCs w:val="24"/>
        </w:rPr>
      </w:pPr>
    </w:p>
    <w:p w:rsidR="00022D67" w:rsidRDefault="00022D67">
      <w:pPr>
        <w:rPr>
          <w:rFonts w:cs="Calibri"/>
          <w:sz w:val="22"/>
          <w:szCs w:val="24"/>
        </w:rPr>
      </w:pPr>
    </w:p>
    <w:p w:rsidR="00022D67" w:rsidRDefault="00022D67">
      <w:pPr>
        <w:rPr>
          <w:rFonts w:cs="Calibri"/>
          <w:b/>
          <w:sz w:val="22"/>
          <w:szCs w:val="24"/>
          <w:u w:val="single"/>
        </w:rPr>
      </w:pPr>
      <w:r>
        <w:rPr>
          <w:b/>
          <w:sz w:val="22"/>
          <w:szCs w:val="24"/>
          <w:u w:val="single"/>
        </w:rPr>
        <w:t>SDNP/21/01966/FUL</w:t>
      </w:r>
    </w:p>
    <w:p w:rsidR="00022D67" w:rsidRDefault="00022D67">
      <w:pPr>
        <w:rPr>
          <w:sz w:val="22"/>
          <w:szCs w:val="24"/>
        </w:rPr>
      </w:pPr>
    </w:p>
    <w:p w:rsidR="00022D67" w:rsidRDefault="00022D67">
      <w:pPr>
        <w:rPr>
          <w:sz w:val="22"/>
          <w:szCs w:val="24"/>
        </w:rPr>
      </w:pPr>
      <w:r>
        <w:rPr>
          <w:rFonts w:cs="Calibri"/>
          <w:sz w:val="22"/>
          <w:szCs w:val="24"/>
        </w:rPr>
        <w:t>Proposed construction of Holiday Accommodation in two dwellings, 3 Shepherd's Huts and a separate Storage/machinery bay/ workshop with cold meat store, Keeper's lodge facilities, office accommodation and associated works together with a 20kw PV array on top of the existing agricultural barn.</w:t>
      </w:r>
    </w:p>
    <w:p w:rsidR="00022D67" w:rsidRDefault="00022D67">
      <w:pPr>
        <w:rPr>
          <w:sz w:val="22"/>
          <w:szCs w:val="24"/>
        </w:rPr>
      </w:pPr>
      <w:r>
        <w:rPr>
          <w:rFonts w:cs="Calibri"/>
          <w:sz w:val="22"/>
          <w:szCs w:val="24"/>
        </w:rPr>
        <w:t xml:space="preserve">At  </w:t>
      </w:r>
    </w:p>
    <w:p w:rsidR="00022D67" w:rsidRDefault="00022D67">
      <w:pPr>
        <w:rPr>
          <w:rFonts w:cs="Calibri"/>
          <w:sz w:val="22"/>
          <w:szCs w:val="24"/>
        </w:rPr>
      </w:pPr>
    </w:p>
    <w:p w:rsidR="00022D67" w:rsidRDefault="00022D67">
      <w:pPr>
        <w:rPr>
          <w:rFonts w:cs="Calibri"/>
          <w:sz w:val="22"/>
          <w:szCs w:val="24"/>
        </w:rPr>
      </w:pPr>
      <w:r>
        <w:rPr>
          <w:sz w:val="22"/>
          <w:szCs w:val="24"/>
        </w:rPr>
        <w:t>Drews Farm , Diddybones Nap, Forestside, Stoughton, PO9 6EH</w:t>
      </w:r>
    </w:p>
    <w:p w:rsidR="00022D67" w:rsidRDefault="00022D67">
      <w:pPr>
        <w:rPr>
          <w:sz w:val="22"/>
          <w:szCs w:val="24"/>
        </w:rPr>
      </w:pPr>
    </w:p>
    <w:p w:rsidR="00022D67" w:rsidRDefault="00022D67">
      <w:pPr>
        <w:rPr>
          <w:rFonts w:cs="Calibri"/>
          <w:sz w:val="22"/>
          <w:szCs w:val="24"/>
        </w:rPr>
      </w:pPr>
    </w:p>
    <w:p w:rsidR="00022D67" w:rsidRDefault="00022D67">
      <w:pPr>
        <w:rPr>
          <w:sz w:val="22"/>
          <w:szCs w:val="24"/>
        </w:rPr>
      </w:pPr>
      <w:r>
        <w:rPr>
          <w:b/>
          <w:sz w:val="22"/>
          <w:szCs w:val="24"/>
        </w:rPr>
        <w:t>Validation Date:</w:t>
      </w:r>
      <w:r>
        <w:rPr>
          <w:rFonts w:cs="Calibri"/>
          <w:sz w:val="22"/>
          <w:szCs w:val="24"/>
        </w:rPr>
        <w:tab/>
        <w:t>16 April 2021</w:t>
      </w:r>
    </w:p>
    <w:p w:rsidR="00022D67" w:rsidRDefault="00022D67">
      <w:pPr>
        <w:rPr>
          <w:rFonts w:cs="Calibri"/>
          <w:sz w:val="22"/>
          <w:szCs w:val="24"/>
        </w:rPr>
      </w:pPr>
    </w:p>
    <w:p w:rsidR="00022D67" w:rsidRDefault="00022D67">
      <w:pPr>
        <w:rPr>
          <w:sz w:val="22"/>
          <w:szCs w:val="24"/>
        </w:rPr>
      </w:pPr>
      <w:r>
        <w:rPr>
          <w:b/>
          <w:sz w:val="22"/>
          <w:szCs w:val="24"/>
        </w:rPr>
        <w:t>Date of Direction:</w:t>
      </w:r>
      <w:r>
        <w:rPr>
          <w:rFonts w:cs="Calibri"/>
          <w:sz w:val="22"/>
          <w:szCs w:val="24"/>
        </w:rPr>
        <w:t xml:space="preserve"> </w:t>
      </w:r>
      <w:r>
        <w:rPr>
          <w:rFonts w:cs="Calibri"/>
          <w:sz w:val="22"/>
          <w:szCs w:val="24"/>
        </w:rPr>
        <w:tab/>
        <w:t>8 April 2021</w:t>
      </w:r>
    </w:p>
    <w:p w:rsidR="00022D67" w:rsidRDefault="00022D67">
      <w:pPr>
        <w:rPr>
          <w:rFonts w:cs="Calibri"/>
          <w:sz w:val="22"/>
          <w:szCs w:val="24"/>
        </w:rPr>
      </w:pPr>
    </w:p>
    <w:p w:rsidR="00022D67" w:rsidRDefault="00022D67">
      <w:pPr>
        <w:rPr>
          <w:rFonts w:cs="Calibri"/>
          <w:b/>
          <w:sz w:val="22"/>
          <w:szCs w:val="24"/>
        </w:rPr>
      </w:pPr>
      <w:r>
        <w:rPr>
          <w:b/>
          <w:sz w:val="22"/>
          <w:szCs w:val="24"/>
        </w:rPr>
        <w:t>Reason for the Direction</w:t>
      </w:r>
    </w:p>
    <w:p w:rsidR="00022D67" w:rsidRDefault="00022D67">
      <w:pPr>
        <w:rPr>
          <w:rFonts w:cs="Calibri"/>
          <w:sz w:val="22"/>
          <w:szCs w:val="24"/>
        </w:rPr>
      </w:pPr>
      <w:r>
        <w:rPr>
          <w:sz w:val="22"/>
          <w:szCs w:val="24"/>
        </w:rPr>
        <w:t>the SDNPA proposes to determine the above planning application for farm diversification and tourist accommodation itself given the need to balance considerations regarding any impacts on the natural beauty, wildlife and cultural heritage of the area as a result of the proposed activities and uses against any opportunities that the uses and activities may bring for understanding and enjoyment of its special qualities by the public, along with the National Park Authority's Duty to foster the socio-economic wellbeing of local communities within the National Park. Such an assessment in balancing the Purposes and Duty of National Park designation is potentially of significance to the SDNPA.</w:t>
      </w:r>
    </w:p>
    <w:p w:rsidR="00022D67" w:rsidRDefault="00022D67">
      <w:pPr>
        <w:rPr>
          <w:sz w:val="22"/>
          <w:szCs w:val="24"/>
        </w:rPr>
      </w:pPr>
    </w:p>
    <w:p w:rsidR="00022D67" w:rsidRDefault="00BA6204">
      <w:pPr>
        <w:rPr>
          <w:sz w:val="22"/>
          <w:szCs w:val="24"/>
        </w:rPr>
      </w:pPr>
      <w:hyperlink r:id="rId9" w:history="1">
        <w:r w:rsidR="00022D67" w:rsidRPr="00BA6204">
          <w:rPr>
            <w:rStyle w:val="Hyperlink"/>
            <w:rFonts w:ascii="Gill Sans MT" w:hAnsi="Gill Sans MT" w:cs="Calibri"/>
            <w:sz w:val="22"/>
            <w:szCs w:val="24"/>
          </w:rPr>
          <w:t>View the case on public access</w:t>
        </w:r>
      </w:hyperlink>
    </w:p>
    <w:p w:rsidR="00022D67" w:rsidRDefault="00022D67">
      <w:pPr>
        <w:rPr>
          <w:sz w:val="22"/>
          <w:szCs w:val="24"/>
        </w:rPr>
      </w:pPr>
    </w:p>
    <w:p w:rsidR="00022D67" w:rsidRDefault="00022D67">
      <w:pPr>
        <w:rPr>
          <w:rFonts w:cs="Calibri"/>
          <w:sz w:val="22"/>
          <w:szCs w:val="24"/>
        </w:rPr>
      </w:pPr>
    </w:p>
    <w:p w:rsidR="00022D67" w:rsidRDefault="00022D67">
      <w:pPr>
        <w:rPr>
          <w:sz w:val="22"/>
          <w:szCs w:val="24"/>
        </w:rPr>
      </w:pPr>
    </w:p>
    <w:sectPr w:rsidR="00022D67">
      <w:footerReference w:type="first" r:id="rId10"/>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D67" w:rsidRDefault="00022D67">
      <w:r>
        <w:separator/>
      </w:r>
    </w:p>
  </w:endnote>
  <w:endnote w:type="continuationSeparator" w:id="0">
    <w:p w:rsidR="00022D67" w:rsidRDefault="0002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67" w:rsidRDefault="00022D67">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D67" w:rsidRDefault="00022D67">
      <w:r>
        <w:separator/>
      </w:r>
    </w:p>
  </w:footnote>
  <w:footnote w:type="continuationSeparator" w:id="0">
    <w:p w:rsidR="00022D67" w:rsidRDefault="00022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04"/>
    <w:rsid w:val="00022D67"/>
    <w:rsid w:val="00500A9A"/>
    <w:rsid w:val="00BA6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EE5418-4980-43B7-B2E5-5B119DAA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locked/>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locked/>
    <w:rPr>
      <w:rFonts w:ascii="Times New Roman" w:hAnsi="Times New Roman" w:cs="Times New Roman"/>
      <w:bCs/>
      <w:sz w:val="20"/>
      <w:szCs w:val="20"/>
    </w:rPr>
  </w:style>
  <w:style w:type="character" w:styleId="LineNumber">
    <w:name w:val="line number"/>
    <w:basedOn w:val="DefaultParagraphFont"/>
    <w:uiPriority w:val="99"/>
    <w:rPr>
      <w:rFonts w:cs="Times New Roman"/>
      <w:sz w:val="22"/>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 w:val="16"/>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publicaccess.southdowns.gov.uk/online-applications/applicationDetails.do?activeTab=summary&amp;keyVal=QQITOATUGRU00" TargetMode="External"/><Relationship Id="rId3" Type="http://schemas.openxmlformats.org/officeDocument/2006/relationships/webSettings" Target="webSettings.xml"/><Relationship Id="rId7" Type="http://schemas.openxmlformats.org/officeDocument/2006/relationships/hyperlink" Target="https://planningpublicaccess.southdowns.gov.uk/online-applications/applicationDetails.do?activeTab=summary&amp;keyVal=QP0YSYTUFOR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anningpublicaccess.southdowns.gov.uk/online-applications/applicationDetails.do?activeTab=summary&amp;keyVal=Q5AD4NTUKWR0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planningpublicaccess.southdowns.gov.uk/online-applications/applicationDetails.do?activeTab=summary&amp;keyVal=QR793OTUH5C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Our Ref:</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James Nicholls</cp:lastModifiedBy>
  <cp:revision>2</cp:revision>
  <cp:lastPrinted>2011-05-06T08:56:00Z</cp:lastPrinted>
  <dcterms:created xsi:type="dcterms:W3CDTF">2021-04-19T19:36:00Z</dcterms:created>
  <dcterms:modified xsi:type="dcterms:W3CDTF">2021-04-19T19:36:00Z</dcterms:modified>
</cp:coreProperties>
</file>