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944D3" w14:textId="77777777" w:rsidR="00CC7050" w:rsidRDefault="00CC7050" w:rsidP="003169F7">
      <w:pPr>
        <w:spacing w:after="120" w:line="300" w:lineRule="atLeast"/>
        <w:rPr>
          <w:b/>
        </w:rPr>
      </w:pPr>
    </w:p>
    <w:p w14:paraId="327214D1" w14:textId="77777777" w:rsidR="00CC7050" w:rsidRDefault="00CC7050" w:rsidP="003169F7">
      <w:pPr>
        <w:spacing w:after="120" w:line="300" w:lineRule="atLeast"/>
        <w:rPr>
          <w:b/>
        </w:rPr>
      </w:pPr>
    </w:p>
    <w:p w14:paraId="13DC5E83" w14:textId="77777777" w:rsidR="00CC7050" w:rsidRDefault="00CC7050" w:rsidP="003169F7">
      <w:pPr>
        <w:spacing w:after="120" w:line="300" w:lineRule="atLeast"/>
        <w:jc w:val="right"/>
        <w:rPr>
          <w:b/>
          <w:color w:val="756E1B"/>
          <w:sz w:val="56"/>
          <w:szCs w:val="56"/>
        </w:rPr>
      </w:pPr>
      <w:r>
        <w:rPr>
          <w:noProof/>
          <w:lang w:eastAsia="en-GB"/>
        </w:rPr>
        <w:drawing>
          <wp:inline distT="0" distB="0" distL="0" distR="0" wp14:anchorId="6BB023E2" wp14:editId="5F5D7695">
            <wp:extent cx="2143125" cy="1115024"/>
            <wp:effectExtent l="0" t="0" r="0" b="9525"/>
            <wp:docPr id="2" name="Picture 0" descr="SDNPA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DNPAlogo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4875" cy="1136746"/>
                    </a:xfrm>
                    <a:prstGeom prst="rect">
                      <a:avLst/>
                    </a:prstGeom>
                    <a:noFill/>
                    <a:ln>
                      <a:noFill/>
                    </a:ln>
                  </pic:spPr>
                </pic:pic>
              </a:graphicData>
            </a:graphic>
          </wp:inline>
        </w:drawing>
      </w:r>
    </w:p>
    <w:p w14:paraId="082289FB" w14:textId="77777777" w:rsidR="00CC7050" w:rsidRDefault="00CC7050" w:rsidP="003169F7">
      <w:pPr>
        <w:spacing w:after="120" w:line="300" w:lineRule="atLeast"/>
        <w:rPr>
          <w:b/>
          <w:color w:val="756E1B"/>
          <w:sz w:val="40"/>
          <w:szCs w:val="40"/>
        </w:rPr>
      </w:pPr>
    </w:p>
    <w:p w14:paraId="3014131D" w14:textId="77777777" w:rsidR="00CC7050" w:rsidRDefault="00CC7050" w:rsidP="003169F7">
      <w:pPr>
        <w:spacing w:after="120" w:line="300" w:lineRule="atLeast"/>
        <w:rPr>
          <w:b/>
          <w:color w:val="756E1B"/>
          <w:sz w:val="40"/>
          <w:szCs w:val="40"/>
        </w:rPr>
      </w:pPr>
    </w:p>
    <w:p w14:paraId="0D2E0A78" w14:textId="77777777" w:rsidR="00CC7050" w:rsidRDefault="00CC7050" w:rsidP="003169F7">
      <w:pPr>
        <w:spacing w:after="120" w:line="300" w:lineRule="atLeast"/>
        <w:rPr>
          <w:b/>
          <w:color w:val="756E1B"/>
          <w:sz w:val="40"/>
          <w:szCs w:val="40"/>
        </w:rPr>
      </w:pPr>
    </w:p>
    <w:p w14:paraId="3A544349" w14:textId="77777777" w:rsidR="00CC7050" w:rsidRDefault="00CC7050" w:rsidP="003169F7">
      <w:pPr>
        <w:spacing w:after="120" w:line="300" w:lineRule="atLeast"/>
        <w:rPr>
          <w:b/>
          <w:color w:val="756E1B"/>
          <w:sz w:val="40"/>
          <w:szCs w:val="40"/>
        </w:rPr>
      </w:pPr>
    </w:p>
    <w:p w14:paraId="4DA60902" w14:textId="77777777" w:rsidR="00CC7050" w:rsidRDefault="00CC7050" w:rsidP="003169F7">
      <w:pPr>
        <w:spacing w:after="120" w:line="300" w:lineRule="atLeast"/>
        <w:rPr>
          <w:b/>
          <w:color w:val="756E1B"/>
          <w:sz w:val="40"/>
          <w:szCs w:val="40"/>
        </w:rPr>
      </w:pPr>
    </w:p>
    <w:p w14:paraId="75B4621F" w14:textId="5B128619" w:rsidR="00CC7050" w:rsidRPr="003664AD" w:rsidRDefault="00026F3A" w:rsidP="003169F7">
      <w:pPr>
        <w:spacing w:after="120" w:line="300" w:lineRule="atLeast"/>
        <w:rPr>
          <w:b/>
          <w:color w:val="595959"/>
          <w:sz w:val="52"/>
          <w:szCs w:val="52"/>
        </w:rPr>
      </w:pPr>
      <w:r>
        <w:rPr>
          <w:b/>
          <w:color w:val="595959"/>
          <w:sz w:val="52"/>
          <w:szCs w:val="52"/>
        </w:rPr>
        <w:t>Sustainable Construction</w:t>
      </w:r>
    </w:p>
    <w:p w14:paraId="436DF07F" w14:textId="0DDFCDC2" w:rsidR="00CC7050" w:rsidRDefault="005F568B" w:rsidP="003169F7">
      <w:pPr>
        <w:spacing w:after="120" w:line="300" w:lineRule="atLeast"/>
        <w:rPr>
          <w:b/>
          <w:color w:val="595959"/>
          <w:sz w:val="52"/>
          <w:szCs w:val="52"/>
        </w:rPr>
      </w:pPr>
      <w:r>
        <w:rPr>
          <w:b/>
          <w:color w:val="595959"/>
          <w:sz w:val="52"/>
          <w:szCs w:val="52"/>
        </w:rPr>
        <w:t>Supplementary Planning Document</w:t>
      </w:r>
    </w:p>
    <w:p w14:paraId="5DE53835" w14:textId="77777777" w:rsidR="00064F09" w:rsidRDefault="00064F09" w:rsidP="003169F7">
      <w:pPr>
        <w:spacing w:after="120" w:line="300" w:lineRule="atLeast"/>
        <w:rPr>
          <w:b/>
          <w:color w:val="595959"/>
          <w:sz w:val="52"/>
          <w:szCs w:val="52"/>
        </w:rPr>
      </w:pPr>
    </w:p>
    <w:p w14:paraId="3DAA33F4" w14:textId="4E986A7F" w:rsidR="00064F09" w:rsidRPr="00EC580D" w:rsidRDefault="00064F09" w:rsidP="003169F7">
      <w:pPr>
        <w:spacing w:after="120" w:line="300" w:lineRule="atLeast"/>
        <w:rPr>
          <w:b/>
          <w:color w:val="595959"/>
          <w:sz w:val="40"/>
          <w:szCs w:val="52"/>
        </w:rPr>
      </w:pPr>
      <w:r w:rsidRPr="00EC580D">
        <w:rPr>
          <w:b/>
          <w:color w:val="595959"/>
          <w:sz w:val="40"/>
          <w:szCs w:val="52"/>
        </w:rPr>
        <w:t>Strategic Environmental Assessment (SEA) – Screening Statement</w:t>
      </w:r>
    </w:p>
    <w:p w14:paraId="4597E44B" w14:textId="77777777" w:rsidR="00064F09" w:rsidRPr="00EC580D" w:rsidRDefault="00064F09" w:rsidP="003169F7">
      <w:pPr>
        <w:spacing w:after="120" w:line="300" w:lineRule="atLeast"/>
        <w:rPr>
          <w:b/>
          <w:color w:val="595959"/>
          <w:sz w:val="40"/>
          <w:szCs w:val="52"/>
        </w:rPr>
      </w:pPr>
    </w:p>
    <w:p w14:paraId="68C528B0" w14:textId="5D60052D" w:rsidR="00064F09" w:rsidRPr="00EC580D" w:rsidRDefault="00064F09" w:rsidP="003169F7">
      <w:pPr>
        <w:spacing w:after="120" w:line="300" w:lineRule="atLeast"/>
        <w:rPr>
          <w:b/>
          <w:color w:val="595959"/>
          <w:sz w:val="40"/>
          <w:szCs w:val="52"/>
        </w:rPr>
      </w:pPr>
      <w:r w:rsidRPr="00EC580D">
        <w:rPr>
          <w:b/>
          <w:color w:val="595959"/>
          <w:sz w:val="40"/>
          <w:szCs w:val="52"/>
        </w:rPr>
        <w:t>Habitats Regulations Assessment (HRA) – Screening Statement</w:t>
      </w:r>
    </w:p>
    <w:p w14:paraId="6EB6E763" w14:textId="77777777" w:rsidR="00064F09" w:rsidRPr="00EC580D" w:rsidRDefault="00064F09" w:rsidP="003169F7">
      <w:pPr>
        <w:spacing w:after="120" w:line="300" w:lineRule="atLeast"/>
        <w:rPr>
          <w:b/>
          <w:color w:val="595959"/>
          <w:sz w:val="40"/>
          <w:szCs w:val="52"/>
        </w:rPr>
      </w:pPr>
    </w:p>
    <w:p w14:paraId="64EF423B" w14:textId="17DAFA13" w:rsidR="00064F09" w:rsidRPr="00EC580D" w:rsidRDefault="00064F09" w:rsidP="003169F7">
      <w:pPr>
        <w:spacing w:after="120" w:line="300" w:lineRule="atLeast"/>
        <w:rPr>
          <w:b/>
          <w:color w:val="595959"/>
          <w:sz w:val="40"/>
          <w:szCs w:val="52"/>
        </w:rPr>
      </w:pPr>
      <w:r w:rsidRPr="00EC580D">
        <w:rPr>
          <w:b/>
          <w:color w:val="595959"/>
          <w:sz w:val="40"/>
          <w:szCs w:val="52"/>
        </w:rPr>
        <w:t>Determination Statement</w:t>
      </w:r>
    </w:p>
    <w:p w14:paraId="5D955850" w14:textId="77777777" w:rsidR="00CC7050" w:rsidRDefault="00CC7050" w:rsidP="003169F7">
      <w:pPr>
        <w:spacing w:after="120" w:line="300" w:lineRule="atLeast"/>
        <w:rPr>
          <w:b/>
        </w:rPr>
      </w:pPr>
    </w:p>
    <w:p w14:paraId="4569CC5B" w14:textId="77777777" w:rsidR="00CC7050" w:rsidRDefault="00CC7050" w:rsidP="003169F7">
      <w:pPr>
        <w:spacing w:after="120" w:line="300" w:lineRule="atLeast"/>
        <w:rPr>
          <w:b/>
        </w:rPr>
      </w:pPr>
    </w:p>
    <w:p w14:paraId="3D5ABE29" w14:textId="77777777" w:rsidR="00EC580D" w:rsidRDefault="00EC580D" w:rsidP="003169F7">
      <w:pPr>
        <w:spacing w:after="120" w:line="300" w:lineRule="atLeast"/>
        <w:rPr>
          <w:b/>
          <w:color w:val="595959"/>
          <w:sz w:val="28"/>
          <w:szCs w:val="32"/>
        </w:rPr>
        <w:sectPr w:rsidR="00EC580D" w:rsidSect="00B35865">
          <w:footerReference w:type="first" r:id="rId9"/>
          <w:pgSz w:w="11906" w:h="16838"/>
          <w:pgMar w:top="1440" w:right="1440" w:bottom="1440" w:left="1440" w:header="708" w:footer="708" w:gutter="0"/>
          <w:pgNumType w:start="1"/>
          <w:cols w:space="708"/>
          <w:titlePg/>
          <w:docGrid w:linePitch="360"/>
        </w:sectPr>
      </w:pPr>
    </w:p>
    <w:p w14:paraId="13C36D84" w14:textId="77777777" w:rsidR="00CC7050" w:rsidRPr="00F82ED8" w:rsidRDefault="00CC7050" w:rsidP="003169F7">
      <w:pPr>
        <w:pStyle w:val="ListParagraph"/>
        <w:numPr>
          <w:ilvl w:val="0"/>
          <w:numId w:val="3"/>
        </w:numPr>
        <w:pBdr>
          <w:bottom w:val="single" w:sz="24" w:space="1" w:color="756E1B"/>
        </w:pBdr>
        <w:spacing w:after="120" w:line="300" w:lineRule="atLeast"/>
        <w:ind w:left="567" w:hanging="567"/>
        <w:contextualSpacing w:val="0"/>
        <w:rPr>
          <w:b/>
        </w:rPr>
      </w:pPr>
      <w:r w:rsidRPr="00F82ED8">
        <w:rPr>
          <w:rFonts w:eastAsiaTheme="majorEastAsia" w:cstheme="majorBidi"/>
          <w:caps/>
          <w:color w:val="756E1B"/>
          <w:sz w:val="48"/>
          <w:szCs w:val="48"/>
        </w:rPr>
        <w:lastRenderedPageBreak/>
        <w:t>Introduction</w:t>
      </w:r>
    </w:p>
    <w:p w14:paraId="53AAA163" w14:textId="77777777" w:rsidR="005F568B" w:rsidRDefault="005F568B" w:rsidP="003169F7">
      <w:pPr>
        <w:spacing w:after="120" w:line="300" w:lineRule="atLeast"/>
        <w:rPr>
          <w:b/>
          <w:color w:val="756E1B"/>
        </w:rPr>
      </w:pPr>
    </w:p>
    <w:p w14:paraId="6EA2EB2E" w14:textId="46DBFB52" w:rsidR="00186C7A" w:rsidRDefault="00064F09" w:rsidP="003169F7">
      <w:pPr>
        <w:pStyle w:val="ListParagraph"/>
        <w:numPr>
          <w:ilvl w:val="0"/>
          <w:numId w:val="4"/>
        </w:numPr>
        <w:spacing w:after="120" w:line="300" w:lineRule="atLeast"/>
        <w:ind w:left="567" w:hanging="567"/>
        <w:contextualSpacing w:val="0"/>
      </w:pPr>
      <w:r>
        <w:t>This statement sets out the Auth</w:t>
      </w:r>
      <w:r w:rsidR="006D2CAB">
        <w:t>ority’s determination under Reg</w:t>
      </w:r>
      <w:r>
        <w:t>ul</w:t>
      </w:r>
      <w:r w:rsidR="006D2CAB">
        <w:t>a</w:t>
      </w:r>
      <w:r>
        <w:t>tion 9 (1) of the Environmental Assessme</w:t>
      </w:r>
      <w:r w:rsidR="006D2CAB">
        <w:t>nt of Plans and Programmes Regu</w:t>
      </w:r>
      <w:r>
        <w:t>l</w:t>
      </w:r>
      <w:r w:rsidR="006D2CAB">
        <w:t>a</w:t>
      </w:r>
      <w:r>
        <w:t xml:space="preserve">tions 2004 on whether or not a Strategic Environmental Assessment is required for the consultation draft </w:t>
      </w:r>
      <w:r w:rsidR="002D2094">
        <w:t>Sustainable Construction</w:t>
      </w:r>
      <w:r>
        <w:t xml:space="preserve"> Supplementary Planning Document (SPD).</w:t>
      </w:r>
    </w:p>
    <w:p w14:paraId="74122A11" w14:textId="705FBA35" w:rsidR="00064F09" w:rsidRDefault="00064F09" w:rsidP="003169F7">
      <w:pPr>
        <w:pStyle w:val="ListParagraph"/>
        <w:numPr>
          <w:ilvl w:val="0"/>
          <w:numId w:val="4"/>
        </w:numPr>
        <w:spacing w:after="120" w:line="300" w:lineRule="atLeast"/>
        <w:ind w:left="567" w:hanging="567"/>
        <w:contextualSpacing w:val="0"/>
      </w:pPr>
      <w:r>
        <w:t>This statement also sets out the Authority’s determination as to whether Appropriate Assessment is required under the Conservation of Hab</w:t>
      </w:r>
      <w:r w:rsidR="006D2CAB">
        <w:t>itats &amp; Species Regu</w:t>
      </w:r>
      <w:r w:rsidR="00702FB5">
        <w:t>l</w:t>
      </w:r>
      <w:r w:rsidR="006D2CAB">
        <w:t>a</w:t>
      </w:r>
      <w:r w:rsidR="00702FB5">
        <w:t>tions 2017</w:t>
      </w:r>
      <w:r>
        <w:t>.</w:t>
      </w:r>
    </w:p>
    <w:p w14:paraId="467CBF2B" w14:textId="0BDA8654" w:rsidR="002A130E" w:rsidRPr="002D2094" w:rsidRDefault="002A130E" w:rsidP="003169F7">
      <w:pPr>
        <w:spacing w:after="120" w:line="300" w:lineRule="atLeast"/>
        <w:jc w:val="both"/>
        <w:rPr>
          <w:b/>
        </w:rPr>
      </w:pPr>
      <w:r w:rsidRPr="002D2094">
        <w:rPr>
          <w:b/>
        </w:rPr>
        <w:t>Strategic Environmental Assessment</w:t>
      </w:r>
    </w:p>
    <w:p w14:paraId="2E7A1D01" w14:textId="44B160F7" w:rsidR="00064F09" w:rsidRPr="002A130E" w:rsidRDefault="002A130E" w:rsidP="003169F7">
      <w:pPr>
        <w:pStyle w:val="ListParagraph"/>
        <w:numPr>
          <w:ilvl w:val="0"/>
          <w:numId w:val="4"/>
        </w:numPr>
        <w:spacing w:after="120" w:line="300" w:lineRule="atLeast"/>
        <w:ind w:left="567" w:hanging="567"/>
        <w:contextualSpacing w:val="0"/>
        <w:rPr>
          <w:b/>
          <w:color w:val="756E1B"/>
        </w:rPr>
      </w:pPr>
      <w:r w:rsidRPr="002A130E">
        <w:t>Under the requirements of the European Union Directive 2001/42/EC (S</w:t>
      </w:r>
      <w:r w:rsidR="006D2CAB">
        <w:t>trategic Environmental Assessmen</w:t>
      </w:r>
      <w:r w:rsidRPr="002A130E">
        <w:t>t (SEA) Directive) and Environmental Assessment of Plans and Programmes Regulations (2004) specific types of plans that set out the framework for future development consent</w:t>
      </w:r>
      <w:r w:rsidR="005E64B7">
        <w:t>s</w:t>
      </w:r>
      <w:r w:rsidRPr="002A130E">
        <w:t xml:space="preserve"> o</w:t>
      </w:r>
      <w:r w:rsidR="005E64B7">
        <w:t>n</w:t>
      </w:r>
      <w:r w:rsidRPr="002A130E">
        <w:t xml:space="preserve"> projects must be subject to an environmental assessment.</w:t>
      </w:r>
    </w:p>
    <w:p w14:paraId="3BDA7A54" w14:textId="54E5C72D" w:rsidR="002A130E" w:rsidRDefault="005E64B7" w:rsidP="003169F7">
      <w:pPr>
        <w:pStyle w:val="ListParagraph"/>
        <w:numPr>
          <w:ilvl w:val="0"/>
          <w:numId w:val="4"/>
        </w:numPr>
        <w:spacing w:after="120" w:line="300" w:lineRule="atLeast"/>
        <w:ind w:left="567" w:hanging="567"/>
        <w:contextualSpacing w:val="0"/>
        <w:rPr>
          <w:color w:val="000000" w:themeColor="text1"/>
        </w:rPr>
      </w:pPr>
      <w:r w:rsidRPr="005E64B7">
        <w:rPr>
          <w:color w:val="000000" w:themeColor="text1"/>
          <w:lang w:val="en"/>
        </w:rPr>
        <w:t>Supplementary planning documents may in exceptional circumstances require a strategic environmental assessment if they are likely to have significant environmental effects that have not already have been assessed during the preparation of the relevant strategic policies.</w:t>
      </w:r>
      <w:r>
        <w:rPr>
          <w:color w:val="000000" w:themeColor="text1"/>
          <w:lang w:val="en"/>
        </w:rPr>
        <w:t xml:space="preserve"> </w:t>
      </w:r>
    </w:p>
    <w:p w14:paraId="1C39E89C" w14:textId="0E0123DD" w:rsidR="002A130E" w:rsidRDefault="002A130E" w:rsidP="003169F7">
      <w:pPr>
        <w:pStyle w:val="ListParagraph"/>
        <w:numPr>
          <w:ilvl w:val="0"/>
          <w:numId w:val="4"/>
        </w:numPr>
        <w:spacing w:after="120" w:line="300" w:lineRule="atLeast"/>
        <w:ind w:left="567" w:hanging="567"/>
        <w:contextualSpacing w:val="0"/>
        <w:rPr>
          <w:color w:val="000000" w:themeColor="text1"/>
        </w:rPr>
      </w:pPr>
      <w:r w:rsidRPr="002A130E">
        <w:rPr>
          <w:color w:val="000000" w:themeColor="text1"/>
        </w:rPr>
        <w:t xml:space="preserve">In accordance with the provisions of the Directive </w:t>
      </w:r>
      <w:r w:rsidR="005E64B7">
        <w:rPr>
          <w:color w:val="000000" w:themeColor="text1"/>
        </w:rPr>
        <w:t xml:space="preserve">and </w:t>
      </w:r>
      <w:r w:rsidRPr="002A130E">
        <w:rPr>
          <w:color w:val="000000" w:themeColor="text1"/>
        </w:rPr>
        <w:t>Regulation</w:t>
      </w:r>
      <w:r w:rsidR="005E64B7">
        <w:rPr>
          <w:color w:val="000000" w:themeColor="text1"/>
        </w:rPr>
        <w:t>s</w:t>
      </w:r>
      <w:r w:rsidRPr="002A130E">
        <w:rPr>
          <w:color w:val="000000" w:themeColor="text1"/>
        </w:rPr>
        <w:t xml:space="preserve">, the </w:t>
      </w:r>
      <w:r>
        <w:rPr>
          <w:color w:val="000000" w:themeColor="text1"/>
        </w:rPr>
        <w:t xml:space="preserve">Authority </w:t>
      </w:r>
      <w:r w:rsidRPr="002A130E">
        <w:rPr>
          <w:color w:val="000000" w:themeColor="text1"/>
        </w:rPr>
        <w:t xml:space="preserve">must determine if a plan requires an environmental assessment. Where the </w:t>
      </w:r>
      <w:r>
        <w:rPr>
          <w:color w:val="000000" w:themeColor="text1"/>
        </w:rPr>
        <w:t>Authority</w:t>
      </w:r>
      <w:r w:rsidRPr="002A130E">
        <w:rPr>
          <w:color w:val="000000" w:themeColor="text1"/>
        </w:rPr>
        <w:t xml:space="preserve"> determines that SEA is not required then under Regulation 9(3) the </w:t>
      </w:r>
      <w:r>
        <w:rPr>
          <w:color w:val="000000" w:themeColor="text1"/>
        </w:rPr>
        <w:t>Authority</w:t>
      </w:r>
      <w:r w:rsidRPr="002A130E">
        <w:rPr>
          <w:color w:val="000000" w:themeColor="text1"/>
        </w:rPr>
        <w:t xml:space="preserve"> must prepare a statement setting out the reasons for this determination. The need for </w:t>
      </w:r>
      <w:r w:rsidR="003169F7">
        <w:rPr>
          <w:color w:val="000000" w:themeColor="text1"/>
        </w:rPr>
        <w:t xml:space="preserve">a </w:t>
      </w:r>
      <w:r w:rsidRPr="002A130E">
        <w:rPr>
          <w:color w:val="000000" w:themeColor="text1"/>
        </w:rPr>
        <w:t xml:space="preserve">SEA </w:t>
      </w:r>
      <w:r w:rsidR="003169F7">
        <w:rPr>
          <w:color w:val="000000" w:themeColor="text1"/>
        </w:rPr>
        <w:t xml:space="preserve">of the Sustainable Construction SPC </w:t>
      </w:r>
      <w:r w:rsidRPr="002A130E">
        <w:rPr>
          <w:color w:val="000000" w:themeColor="text1"/>
        </w:rPr>
        <w:t xml:space="preserve">is considered </w:t>
      </w:r>
      <w:r w:rsidR="003169F7">
        <w:rPr>
          <w:color w:val="000000" w:themeColor="text1"/>
        </w:rPr>
        <w:t>is</w:t>
      </w:r>
      <w:r w:rsidRPr="002A130E">
        <w:rPr>
          <w:color w:val="000000" w:themeColor="text1"/>
        </w:rPr>
        <w:t xml:space="preserve"> Section 3 of this report.</w:t>
      </w:r>
    </w:p>
    <w:p w14:paraId="72E00813" w14:textId="484B2992" w:rsidR="002A130E" w:rsidRPr="005E64B7" w:rsidRDefault="002A130E" w:rsidP="003169F7">
      <w:pPr>
        <w:spacing w:after="120" w:line="300" w:lineRule="atLeast"/>
        <w:jc w:val="both"/>
        <w:rPr>
          <w:b/>
          <w:color w:val="000000" w:themeColor="text1"/>
        </w:rPr>
      </w:pPr>
      <w:r w:rsidRPr="005E64B7">
        <w:rPr>
          <w:b/>
          <w:color w:val="000000" w:themeColor="text1"/>
        </w:rPr>
        <w:t>Sustainability Appraisal</w:t>
      </w:r>
    </w:p>
    <w:p w14:paraId="2959D103" w14:textId="32C0252C" w:rsidR="002A130E" w:rsidRPr="005E64B7" w:rsidRDefault="002A130E" w:rsidP="003169F7">
      <w:pPr>
        <w:pStyle w:val="ListParagraph"/>
        <w:numPr>
          <w:ilvl w:val="0"/>
          <w:numId w:val="4"/>
        </w:numPr>
        <w:spacing w:after="120" w:line="300" w:lineRule="atLeast"/>
        <w:ind w:left="567" w:hanging="567"/>
        <w:contextualSpacing w:val="0"/>
        <w:rPr>
          <w:color w:val="000000" w:themeColor="text1"/>
        </w:rPr>
      </w:pPr>
      <w:r w:rsidRPr="005E64B7">
        <w:rPr>
          <w:color w:val="000000" w:themeColor="text1"/>
        </w:rPr>
        <w:t>Under separate legislation (the Planning and Compulsory Purchase Act 2004 and associated Regulations), the Authority is required to carry out a Sustainability Appraisal (SA) for all Development Plan Documents. This considers the social and economic impacts of a plan as well as the environmental impacts.</w:t>
      </w:r>
      <w:r w:rsidR="005E64B7">
        <w:rPr>
          <w:color w:val="000000" w:themeColor="text1"/>
        </w:rPr>
        <w:t xml:space="preserve">  However, i</w:t>
      </w:r>
      <w:r w:rsidRPr="005E64B7">
        <w:rPr>
          <w:color w:val="000000" w:themeColor="text1"/>
        </w:rPr>
        <w:t xml:space="preserve">n accordance with current Regulations (Town &amp; Country Planning (Local Development) (England) (Amendment) Regulations 2012) </w:t>
      </w:r>
      <w:r w:rsidR="005E64B7">
        <w:rPr>
          <w:color w:val="000000" w:themeColor="text1"/>
        </w:rPr>
        <w:t xml:space="preserve">a </w:t>
      </w:r>
      <w:r w:rsidRPr="005E64B7">
        <w:rPr>
          <w:color w:val="000000" w:themeColor="text1"/>
        </w:rPr>
        <w:t xml:space="preserve">SA is not required to be carried out for SPD. </w:t>
      </w:r>
    </w:p>
    <w:p w14:paraId="37210752" w14:textId="0620C18C" w:rsidR="002A130E" w:rsidRPr="005E64B7" w:rsidRDefault="002A130E" w:rsidP="003169F7">
      <w:pPr>
        <w:spacing w:after="120" w:line="300" w:lineRule="atLeast"/>
        <w:jc w:val="both"/>
        <w:rPr>
          <w:b/>
          <w:color w:val="000000" w:themeColor="text1"/>
        </w:rPr>
      </w:pPr>
      <w:r w:rsidRPr="005E64B7">
        <w:rPr>
          <w:b/>
          <w:color w:val="000000" w:themeColor="text1"/>
        </w:rPr>
        <w:t>Habitats Regulations Assessment</w:t>
      </w:r>
    </w:p>
    <w:p w14:paraId="092297B4" w14:textId="50A5CF35" w:rsidR="00E30797" w:rsidRDefault="002A130E" w:rsidP="003169F7">
      <w:pPr>
        <w:pStyle w:val="ListParagraph"/>
        <w:numPr>
          <w:ilvl w:val="0"/>
          <w:numId w:val="4"/>
        </w:numPr>
        <w:spacing w:after="120" w:line="300" w:lineRule="atLeast"/>
        <w:ind w:left="567" w:hanging="567"/>
        <w:rPr>
          <w:color w:val="000000" w:themeColor="text1"/>
        </w:rPr>
      </w:pPr>
      <w:r w:rsidRPr="002A130E">
        <w:rPr>
          <w:color w:val="000000" w:themeColor="text1"/>
        </w:rPr>
        <w:t xml:space="preserve">Habitats Regulations Assessment is required to determine whether a plan or project would have significant adverse effects upon the integrity of internationally designated sites of nature conservation importance, or Natura 2000 sites. The need for HRA is set out within the EC Habitats Directive 92/43/EC </w:t>
      </w:r>
      <w:r w:rsidR="005E64B7">
        <w:rPr>
          <w:color w:val="000000" w:themeColor="text1"/>
        </w:rPr>
        <w:t>(</w:t>
      </w:r>
      <w:r w:rsidRPr="002A130E">
        <w:rPr>
          <w:color w:val="000000" w:themeColor="text1"/>
        </w:rPr>
        <w:t>transposed into British Law</w:t>
      </w:r>
      <w:r w:rsidR="005E64B7">
        <w:rPr>
          <w:color w:val="000000" w:themeColor="text1"/>
        </w:rPr>
        <w:t>)</w:t>
      </w:r>
      <w:r w:rsidRPr="002A130E">
        <w:rPr>
          <w:color w:val="000000" w:themeColor="text1"/>
        </w:rPr>
        <w:t xml:space="preserve">. Section 4 of this report deals with the need for Habitats Regulation Assessment. </w:t>
      </w:r>
    </w:p>
    <w:p w14:paraId="040B09F0" w14:textId="77777777" w:rsidR="00E30797" w:rsidRDefault="00E30797">
      <w:pPr>
        <w:rPr>
          <w:color w:val="000000" w:themeColor="text1"/>
        </w:rPr>
      </w:pPr>
      <w:r>
        <w:rPr>
          <w:color w:val="000000" w:themeColor="text1"/>
        </w:rPr>
        <w:br w:type="page"/>
      </w:r>
    </w:p>
    <w:p w14:paraId="259EFCA2" w14:textId="36B516FF" w:rsidR="00EF5526" w:rsidRPr="00EF5526" w:rsidRDefault="00026F3A" w:rsidP="003169F7">
      <w:pPr>
        <w:pStyle w:val="ListParagraph"/>
        <w:numPr>
          <w:ilvl w:val="0"/>
          <w:numId w:val="3"/>
        </w:numPr>
        <w:pBdr>
          <w:bottom w:val="single" w:sz="24" w:space="1" w:color="756E1B"/>
        </w:pBdr>
        <w:spacing w:after="120" w:line="300" w:lineRule="atLeast"/>
        <w:ind w:left="567" w:hanging="567"/>
        <w:contextualSpacing w:val="0"/>
        <w:rPr>
          <w:caps/>
          <w:color w:val="756E1B"/>
          <w:sz w:val="48"/>
          <w:szCs w:val="48"/>
        </w:rPr>
      </w:pPr>
      <w:r>
        <w:rPr>
          <w:caps/>
          <w:color w:val="756E1B"/>
          <w:sz w:val="48"/>
          <w:szCs w:val="48"/>
        </w:rPr>
        <w:lastRenderedPageBreak/>
        <w:t xml:space="preserve">Scope </w:t>
      </w:r>
      <w:r w:rsidR="002A130E">
        <w:rPr>
          <w:caps/>
          <w:color w:val="756E1B"/>
          <w:sz w:val="48"/>
          <w:szCs w:val="48"/>
        </w:rPr>
        <w:t xml:space="preserve">of the </w:t>
      </w:r>
      <w:r>
        <w:rPr>
          <w:caps/>
          <w:color w:val="756E1B"/>
          <w:sz w:val="48"/>
          <w:szCs w:val="48"/>
        </w:rPr>
        <w:t>SUSTAINABLE CONSTRUCTION</w:t>
      </w:r>
      <w:r w:rsidR="002A130E">
        <w:rPr>
          <w:caps/>
          <w:color w:val="756E1B"/>
          <w:sz w:val="48"/>
          <w:szCs w:val="48"/>
        </w:rPr>
        <w:t xml:space="preserve"> SPD</w:t>
      </w:r>
    </w:p>
    <w:p w14:paraId="3EE95857" w14:textId="77777777" w:rsidR="00D3607B" w:rsidRDefault="00D3607B" w:rsidP="003169F7">
      <w:pPr>
        <w:pStyle w:val="ListParagraph"/>
        <w:spacing w:after="120" w:line="300" w:lineRule="atLeast"/>
        <w:ind w:left="567"/>
        <w:contextualSpacing w:val="0"/>
        <w:jc w:val="both"/>
      </w:pPr>
    </w:p>
    <w:p w14:paraId="6820949B" w14:textId="13452EF3" w:rsidR="00EF5526" w:rsidRPr="000B0290" w:rsidRDefault="002A130E" w:rsidP="003169F7">
      <w:pPr>
        <w:pStyle w:val="ListParagraph"/>
        <w:numPr>
          <w:ilvl w:val="0"/>
          <w:numId w:val="5"/>
        </w:numPr>
        <w:spacing w:after="120" w:line="300" w:lineRule="atLeast"/>
        <w:ind w:left="567" w:hanging="567"/>
        <w:contextualSpacing w:val="0"/>
      </w:pPr>
      <w:r>
        <w:t xml:space="preserve">The scope of the SPD is to provide guidance </w:t>
      </w:r>
      <w:r w:rsidR="00E30797">
        <w:t>which</w:t>
      </w:r>
      <w:r>
        <w:t xml:space="preserve"> support</w:t>
      </w:r>
      <w:r w:rsidR="00E30797">
        <w:t>s</w:t>
      </w:r>
      <w:r>
        <w:t xml:space="preserve"> the implementation of </w:t>
      </w:r>
      <w:r w:rsidR="00026F3A">
        <w:t>sustainable construction</w:t>
      </w:r>
      <w:r>
        <w:t xml:space="preserve"> policies of the South Downs Local Plan</w:t>
      </w:r>
      <w:r w:rsidR="00EF5526">
        <w:t xml:space="preserve"> (SDLP</w:t>
      </w:r>
      <w:r w:rsidR="000B0290">
        <w:t>) adopted in 2019</w:t>
      </w:r>
      <w:r>
        <w:t xml:space="preserve">.  The SPD will elaborate upon policies </w:t>
      </w:r>
      <w:r w:rsidR="00F969FC">
        <w:t xml:space="preserve">SD2 Ecosystem Services; </w:t>
      </w:r>
      <w:r>
        <w:t>SD</w:t>
      </w:r>
      <w:r w:rsidR="00026F3A">
        <w:t>48</w:t>
      </w:r>
      <w:r w:rsidR="00EF5526">
        <w:t xml:space="preserve">: </w:t>
      </w:r>
      <w:r w:rsidR="000B0290" w:rsidRPr="000B0290">
        <w:t>Climate Change and Sustainable Use of Resources</w:t>
      </w:r>
      <w:r w:rsidR="000B0290">
        <w:t>;</w:t>
      </w:r>
      <w:r w:rsidR="000B0290" w:rsidRPr="000B0290">
        <w:t xml:space="preserve"> </w:t>
      </w:r>
      <w:r w:rsidR="000B0290">
        <w:t xml:space="preserve">the element of </w:t>
      </w:r>
      <w:r w:rsidR="00EF5526" w:rsidRPr="000B0290">
        <w:t>SD</w:t>
      </w:r>
      <w:r w:rsidR="000B0290">
        <w:t>22</w:t>
      </w:r>
      <w:r w:rsidR="00EF5526" w:rsidRPr="000B0290">
        <w:t xml:space="preserve">: </w:t>
      </w:r>
      <w:r w:rsidR="000B0290" w:rsidRPr="00F6795D">
        <w:rPr>
          <w:noProof/>
        </w:rPr>
        <w:t>Parking Provision</w:t>
      </w:r>
      <w:r w:rsidR="000B0290">
        <w:rPr>
          <w:noProof/>
        </w:rPr>
        <w:t>, as it relates to electric vehicle charging;</w:t>
      </w:r>
      <w:r w:rsidR="000B0290" w:rsidRPr="000B0290">
        <w:t xml:space="preserve"> </w:t>
      </w:r>
      <w:r w:rsidR="00EF5526" w:rsidRPr="000B0290">
        <w:t xml:space="preserve">and </w:t>
      </w:r>
      <w:r w:rsidR="000B0290">
        <w:t xml:space="preserve">SD3 Major Development. The SPD </w:t>
      </w:r>
      <w:r w:rsidR="00EF5526" w:rsidRPr="000B0290">
        <w:t>applies to the whole o</w:t>
      </w:r>
      <w:r w:rsidR="00964E49" w:rsidRPr="000B0290">
        <w:t>f the South Downs National Park</w:t>
      </w:r>
      <w:r w:rsidR="00EF5526" w:rsidRPr="000B0290">
        <w:t>.  The SPD provides further detail on the following matters:</w:t>
      </w:r>
    </w:p>
    <w:p w14:paraId="02539402" w14:textId="08E8C62C" w:rsidR="00EF5526" w:rsidRDefault="000B0290" w:rsidP="003169F7">
      <w:pPr>
        <w:pStyle w:val="ListParagraph"/>
        <w:numPr>
          <w:ilvl w:val="0"/>
          <w:numId w:val="8"/>
        </w:numPr>
        <w:spacing w:after="120" w:line="300" w:lineRule="atLeast"/>
        <w:ind w:left="993" w:hanging="426"/>
        <w:contextualSpacing w:val="0"/>
        <w:jc w:val="both"/>
      </w:pPr>
      <w:r>
        <w:t>Reducing predicted CO</w:t>
      </w:r>
      <w:r w:rsidRPr="000B0290">
        <w:rPr>
          <w:vertAlign w:val="subscript"/>
        </w:rPr>
        <w:t>2</w:t>
      </w:r>
      <w:r>
        <w:t xml:space="preserve"> emissions through the energy efficiency of new development</w:t>
      </w:r>
      <w:r w:rsidR="00EF5526">
        <w:t>;</w:t>
      </w:r>
    </w:p>
    <w:p w14:paraId="5B61AF85" w14:textId="6341023C" w:rsidR="00EF5526" w:rsidRDefault="000B0290" w:rsidP="003169F7">
      <w:pPr>
        <w:pStyle w:val="ListParagraph"/>
        <w:numPr>
          <w:ilvl w:val="0"/>
          <w:numId w:val="8"/>
        </w:numPr>
        <w:spacing w:after="120" w:line="300" w:lineRule="atLeast"/>
        <w:ind w:left="993" w:hanging="426"/>
        <w:contextualSpacing w:val="0"/>
        <w:jc w:val="both"/>
      </w:pPr>
      <w:r>
        <w:t>Reducing CO</w:t>
      </w:r>
      <w:r w:rsidRPr="000B0290">
        <w:rPr>
          <w:vertAlign w:val="subscript"/>
        </w:rPr>
        <w:t>2</w:t>
      </w:r>
      <w:r>
        <w:t xml:space="preserve"> emissions through the generation of on-site low or zero carbon energy</w:t>
      </w:r>
      <w:r w:rsidR="00EF5526">
        <w:t>;</w:t>
      </w:r>
    </w:p>
    <w:p w14:paraId="4D977442" w14:textId="296E6E1B" w:rsidR="00EF5526" w:rsidRDefault="000B0290" w:rsidP="003169F7">
      <w:pPr>
        <w:pStyle w:val="ListParagraph"/>
        <w:numPr>
          <w:ilvl w:val="0"/>
          <w:numId w:val="8"/>
        </w:numPr>
        <w:spacing w:after="120" w:line="300" w:lineRule="atLeast"/>
        <w:ind w:left="993" w:hanging="426"/>
        <w:contextualSpacing w:val="0"/>
        <w:jc w:val="both"/>
      </w:pPr>
      <w:r>
        <w:t>Reducing CO</w:t>
      </w:r>
      <w:r w:rsidRPr="000B0290">
        <w:rPr>
          <w:vertAlign w:val="subscript"/>
        </w:rPr>
        <w:t>2</w:t>
      </w:r>
      <w:r>
        <w:t xml:space="preserve"> emissions through the provision of electric car charging in new development</w:t>
      </w:r>
      <w:r w:rsidR="00EF5526">
        <w:t>;</w:t>
      </w:r>
    </w:p>
    <w:p w14:paraId="4653EAE2" w14:textId="27274C28" w:rsidR="00EF5526" w:rsidRDefault="000B0290" w:rsidP="003169F7">
      <w:pPr>
        <w:pStyle w:val="ListParagraph"/>
        <w:numPr>
          <w:ilvl w:val="0"/>
          <w:numId w:val="8"/>
        </w:numPr>
        <w:spacing w:after="120" w:line="300" w:lineRule="atLeast"/>
        <w:ind w:left="993" w:hanging="426"/>
        <w:contextualSpacing w:val="0"/>
        <w:jc w:val="both"/>
      </w:pPr>
      <w:r>
        <w:t>Reducing CO</w:t>
      </w:r>
      <w:r w:rsidRPr="000B0290">
        <w:rPr>
          <w:vertAlign w:val="subscript"/>
        </w:rPr>
        <w:t>2</w:t>
      </w:r>
      <w:r>
        <w:t xml:space="preserve"> emissions through the</w:t>
      </w:r>
      <w:r w:rsidR="00F969FC">
        <w:t xml:space="preserve"> reduction of waste as part of construction and operational waste</w:t>
      </w:r>
      <w:r w:rsidR="00F969FC" w:rsidRPr="00F969FC">
        <w:t xml:space="preserve"> </w:t>
      </w:r>
      <w:r w:rsidR="00F969FC">
        <w:t>in new development</w:t>
      </w:r>
      <w:r w:rsidR="00EF5526">
        <w:t>;</w:t>
      </w:r>
    </w:p>
    <w:p w14:paraId="2A37D1C1" w14:textId="7AE101BF" w:rsidR="00F969FC" w:rsidRDefault="00F969FC" w:rsidP="003169F7">
      <w:pPr>
        <w:pStyle w:val="ListParagraph"/>
        <w:numPr>
          <w:ilvl w:val="0"/>
          <w:numId w:val="8"/>
        </w:numPr>
        <w:spacing w:after="120" w:line="300" w:lineRule="atLeast"/>
        <w:ind w:left="993" w:hanging="426"/>
        <w:contextualSpacing w:val="0"/>
        <w:jc w:val="both"/>
      </w:pPr>
      <w:r>
        <w:t>Reducing CO</w:t>
      </w:r>
      <w:r w:rsidRPr="000B0290">
        <w:rPr>
          <w:vertAlign w:val="subscript"/>
        </w:rPr>
        <w:t>2</w:t>
      </w:r>
      <w:r>
        <w:t xml:space="preserve"> emissions through the use of low carbon materials in new development;</w:t>
      </w:r>
    </w:p>
    <w:p w14:paraId="2A9F33BE" w14:textId="2A87B6F7" w:rsidR="00EF5526" w:rsidRDefault="00F969FC" w:rsidP="003169F7">
      <w:pPr>
        <w:pStyle w:val="ListParagraph"/>
        <w:numPr>
          <w:ilvl w:val="0"/>
          <w:numId w:val="8"/>
        </w:numPr>
        <w:spacing w:after="120" w:line="300" w:lineRule="atLeast"/>
        <w:ind w:left="993" w:hanging="426"/>
        <w:contextualSpacing w:val="0"/>
        <w:jc w:val="both"/>
      </w:pPr>
      <w:r>
        <w:t>Adapting to predicted climate change by reducing predicted mains water consumption</w:t>
      </w:r>
      <w:r w:rsidR="00EF5526">
        <w:t>;</w:t>
      </w:r>
    </w:p>
    <w:p w14:paraId="019E37E0" w14:textId="6DFB3F51" w:rsidR="00EC580D" w:rsidRDefault="00F969FC" w:rsidP="003169F7">
      <w:pPr>
        <w:pStyle w:val="ListParagraph"/>
        <w:numPr>
          <w:ilvl w:val="0"/>
          <w:numId w:val="8"/>
        </w:numPr>
        <w:spacing w:after="120" w:line="300" w:lineRule="atLeast"/>
        <w:ind w:left="993" w:hanging="426"/>
        <w:contextualSpacing w:val="0"/>
        <w:jc w:val="both"/>
      </w:pPr>
      <w:r>
        <w:t>Adapting to predicted climate change by conserving and enhancing green and blue infrastructure and promoting multi-functional sustainable drainage systems.</w:t>
      </w:r>
    </w:p>
    <w:p w14:paraId="5AB8F937" w14:textId="1D5ECBD8" w:rsidR="00F969FC" w:rsidRDefault="00F969FC" w:rsidP="003169F7">
      <w:pPr>
        <w:pStyle w:val="ListParagraph"/>
        <w:numPr>
          <w:ilvl w:val="0"/>
          <w:numId w:val="8"/>
        </w:numPr>
        <w:spacing w:after="120" w:line="300" w:lineRule="atLeast"/>
        <w:ind w:left="993" w:hanging="426"/>
        <w:contextualSpacing w:val="0"/>
        <w:jc w:val="both"/>
      </w:pPr>
      <w:r>
        <w:t>Adapting to predicted climate change by encouraging green roofs on new buildings</w:t>
      </w:r>
    </w:p>
    <w:p w14:paraId="2F5F8B83" w14:textId="3766CC4E" w:rsidR="00F969FC" w:rsidRDefault="00F969FC" w:rsidP="003169F7">
      <w:pPr>
        <w:pStyle w:val="ListParagraph"/>
        <w:numPr>
          <w:ilvl w:val="0"/>
          <w:numId w:val="8"/>
        </w:numPr>
        <w:spacing w:after="120" w:line="300" w:lineRule="atLeast"/>
        <w:ind w:left="993" w:hanging="426"/>
        <w:contextualSpacing w:val="0"/>
        <w:jc w:val="both"/>
      </w:pPr>
      <w:r w:rsidRPr="00F969FC">
        <w:t>Adapting to predicted climate change by</w:t>
      </w:r>
      <w:r>
        <w:t xml:space="preserve"> encouraging the use of native species and low irrigation planting.</w:t>
      </w:r>
    </w:p>
    <w:p w14:paraId="7E3807C5" w14:textId="3D3EF048" w:rsidR="00F969FC" w:rsidRPr="00F969FC" w:rsidRDefault="00F969FC" w:rsidP="003169F7">
      <w:pPr>
        <w:pStyle w:val="ListParagraph"/>
        <w:numPr>
          <w:ilvl w:val="0"/>
          <w:numId w:val="8"/>
        </w:numPr>
        <w:spacing w:after="120" w:line="300" w:lineRule="atLeast"/>
        <w:ind w:left="993" w:hanging="426"/>
        <w:contextualSpacing w:val="0"/>
        <w:jc w:val="both"/>
        <w:sectPr w:rsidR="00F969FC" w:rsidRPr="00F969FC" w:rsidSect="00B35865">
          <w:pgSz w:w="11906" w:h="16838"/>
          <w:pgMar w:top="1440" w:right="1440" w:bottom="1440" w:left="1440" w:header="708" w:footer="708" w:gutter="0"/>
          <w:pgNumType w:start="1"/>
          <w:cols w:space="708"/>
          <w:titlePg/>
          <w:docGrid w:linePitch="360"/>
        </w:sectPr>
      </w:pPr>
      <w:r w:rsidRPr="00F969FC">
        <w:t>Adapting to predicted climate change by</w:t>
      </w:r>
      <w:r>
        <w:t xml:space="preserve"> encouraging  shade-casting street trees, green walls and other design measures to reduce overheating in new development  </w:t>
      </w:r>
    </w:p>
    <w:p w14:paraId="26CAD8DB" w14:textId="43567D74" w:rsidR="00BE5F5E" w:rsidRPr="00EF5526" w:rsidRDefault="00EF5526" w:rsidP="003169F7">
      <w:pPr>
        <w:pStyle w:val="ListParagraph"/>
        <w:numPr>
          <w:ilvl w:val="0"/>
          <w:numId w:val="3"/>
        </w:numPr>
        <w:pBdr>
          <w:bottom w:val="single" w:sz="24" w:space="1" w:color="756E1B"/>
        </w:pBdr>
        <w:spacing w:after="120" w:line="300" w:lineRule="atLeast"/>
        <w:ind w:left="567" w:hanging="567"/>
        <w:contextualSpacing w:val="0"/>
        <w:rPr>
          <w:caps/>
          <w:color w:val="756E1B"/>
          <w:sz w:val="48"/>
          <w:szCs w:val="48"/>
        </w:rPr>
      </w:pPr>
      <w:r>
        <w:rPr>
          <w:caps/>
          <w:color w:val="756E1B"/>
          <w:sz w:val="48"/>
          <w:szCs w:val="48"/>
        </w:rPr>
        <w:lastRenderedPageBreak/>
        <w:t xml:space="preserve">Strategic </w:t>
      </w:r>
      <w:r w:rsidRPr="00EF5526">
        <w:rPr>
          <w:caps/>
          <w:color w:val="756E1B"/>
          <w:sz w:val="48"/>
          <w:szCs w:val="48"/>
        </w:rPr>
        <w:t>Environmental Assessment (SEA)</w:t>
      </w:r>
    </w:p>
    <w:p w14:paraId="4C3353FE" w14:textId="77777777" w:rsidR="00EF5526" w:rsidRDefault="00EF5526" w:rsidP="003169F7">
      <w:pPr>
        <w:pStyle w:val="ListParagraph"/>
        <w:spacing w:after="120" w:line="300" w:lineRule="atLeast"/>
        <w:ind w:left="567"/>
        <w:contextualSpacing w:val="0"/>
        <w:jc w:val="both"/>
      </w:pPr>
    </w:p>
    <w:p w14:paraId="22E5E6D8" w14:textId="685A0215" w:rsidR="00EF5526" w:rsidRPr="001A0E61" w:rsidRDefault="00EF5526" w:rsidP="003169F7">
      <w:pPr>
        <w:pStyle w:val="ListParagraph"/>
        <w:spacing w:after="120" w:line="300" w:lineRule="atLeast"/>
        <w:ind w:left="0"/>
        <w:contextualSpacing w:val="0"/>
        <w:jc w:val="both"/>
        <w:rPr>
          <w:b/>
        </w:rPr>
      </w:pPr>
      <w:r w:rsidRPr="001A0E61">
        <w:rPr>
          <w:b/>
        </w:rPr>
        <w:t>The SEA Screening Process</w:t>
      </w:r>
    </w:p>
    <w:p w14:paraId="4FFA3FB6" w14:textId="0A4C269F" w:rsidR="00912572" w:rsidRDefault="00EF5526" w:rsidP="00827BBA">
      <w:pPr>
        <w:pStyle w:val="ListParagraph"/>
        <w:numPr>
          <w:ilvl w:val="1"/>
          <w:numId w:val="3"/>
        </w:numPr>
        <w:spacing w:after="120" w:line="300" w:lineRule="atLeast"/>
        <w:jc w:val="both"/>
      </w:pPr>
      <w:r w:rsidRPr="00EF5526">
        <w:t xml:space="preserve">The process for determining whether or not an SEA is required is called screening. In order to screen, it is necessary to determine if a plan will have significant environmental effects using the criteria set out in Annex II of the Directive and Schedule I of the Regulations. </w:t>
      </w:r>
      <w:r>
        <w:t xml:space="preserve">Table 1 </w:t>
      </w:r>
      <w:r w:rsidR="00E30797">
        <w:t xml:space="preserve">below </w:t>
      </w:r>
      <w:r>
        <w:t xml:space="preserve">sets out the Authority’s screening </w:t>
      </w:r>
      <w:r w:rsidR="00E30797">
        <w:t>of</w:t>
      </w:r>
      <w:r>
        <w:t xml:space="preserve"> the </w:t>
      </w:r>
      <w:r w:rsidR="000A23ED">
        <w:t>Sustainable Construction SPD</w:t>
      </w:r>
      <w:r w:rsidR="00E30797">
        <w:t>.</w:t>
      </w:r>
      <w:r>
        <w:t xml:space="preserve">  </w:t>
      </w:r>
    </w:p>
    <w:p w14:paraId="2672662C" w14:textId="77777777" w:rsidR="00827BBA" w:rsidRDefault="00827BBA" w:rsidP="00827BBA">
      <w:pPr>
        <w:pStyle w:val="ListParagraph"/>
        <w:spacing w:after="120" w:line="300" w:lineRule="atLeast"/>
        <w:ind w:left="567"/>
        <w:jc w:val="both"/>
      </w:pPr>
    </w:p>
    <w:p w14:paraId="52112677" w14:textId="7D4D25AE" w:rsidR="00381AE6" w:rsidRDefault="00EF5526" w:rsidP="003169F7">
      <w:pPr>
        <w:pStyle w:val="ListParagraph"/>
        <w:numPr>
          <w:ilvl w:val="1"/>
          <w:numId w:val="3"/>
        </w:numPr>
        <w:spacing w:after="120" w:line="300" w:lineRule="atLeast"/>
        <w:jc w:val="both"/>
      </w:pPr>
      <w:r w:rsidRPr="00EF5526">
        <w:t>Within 28 days of making its determination the authority must publish a statement such as this one, setting out its decision. If it determines that an SEA is not required, the statement must include the reasons for this.</w:t>
      </w:r>
    </w:p>
    <w:p w14:paraId="378D7676" w14:textId="3F452A70" w:rsidR="00381AE6" w:rsidRPr="001A0E61" w:rsidRDefault="00381AE6" w:rsidP="003169F7">
      <w:pPr>
        <w:spacing w:after="120" w:line="300" w:lineRule="atLeast"/>
        <w:jc w:val="both"/>
        <w:rPr>
          <w:b/>
        </w:rPr>
      </w:pPr>
      <w:r w:rsidRPr="001A0E61">
        <w:rPr>
          <w:b/>
        </w:rPr>
        <w:t>SEA Determination and Reasons for Determination</w:t>
      </w:r>
    </w:p>
    <w:p w14:paraId="13AB8EAE" w14:textId="6EE61531" w:rsidR="00381AE6" w:rsidRDefault="00381AE6" w:rsidP="003169F7">
      <w:pPr>
        <w:pStyle w:val="ListParagraph"/>
        <w:numPr>
          <w:ilvl w:val="1"/>
          <w:numId w:val="3"/>
        </w:numPr>
        <w:spacing w:after="120" w:line="300" w:lineRule="atLeast"/>
        <w:jc w:val="both"/>
      </w:pPr>
      <w:r>
        <w:t xml:space="preserve">Before making a determination, the three statutory consultation bodies </w:t>
      </w:r>
      <w:r w:rsidR="00912572">
        <w:t>are</w:t>
      </w:r>
      <w:r>
        <w:t xml:space="preserve"> consulted.  The responses received </w:t>
      </w:r>
      <w:r w:rsidR="00912572">
        <w:t>will be</w:t>
      </w:r>
      <w:r>
        <w:t xml:space="preserve"> set out in Table 1 below:</w:t>
      </w:r>
    </w:p>
    <w:p w14:paraId="06322DF5" w14:textId="730A0BA2" w:rsidR="00381AE6" w:rsidRPr="00912572" w:rsidRDefault="00381AE6" w:rsidP="003169F7">
      <w:pPr>
        <w:spacing w:after="120" w:line="300" w:lineRule="atLeast"/>
        <w:ind w:left="568"/>
        <w:jc w:val="both"/>
        <w:rPr>
          <w:b/>
        </w:rPr>
      </w:pPr>
      <w:r w:rsidRPr="00912572">
        <w:rPr>
          <w:b/>
        </w:rPr>
        <w:t>Table 1 – Comments received by Consultation bodies</w:t>
      </w:r>
    </w:p>
    <w:tbl>
      <w:tblPr>
        <w:tblStyle w:val="TableGrid"/>
        <w:tblW w:w="0" w:type="auto"/>
        <w:tblInd w:w="568" w:type="dxa"/>
        <w:tblLook w:val="04A0" w:firstRow="1" w:lastRow="0" w:firstColumn="1" w:lastColumn="0" w:noHBand="0" w:noVBand="1"/>
      </w:tblPr>
      <w:tblGrid>
        <w:gridCol w:w="3113"/>
        <w:gridCol w:w="5335"/>
      </w:tblGrid>
      <w:tr w:rsidR="00381AE6" w:rsidRPr="00912572" w14:paraId="02096AF6" w14:textId="77777777" w:rsidTr="00381AE6">
        <w:tc>
          <w:tcPr>
            <w:tcW w:w="3113" w:type="dxa"/>
          </w:tcPr>
          <w:p w14:paraId="7BBE7C26" w14:textId="1B0C640D" w:rsidR="00381AE6" w:rsidRPr="00912572" w:rsidRDefault="00381AE6" w:rsidP="003169F7">
            <w:pPr>
              <w:spacing w:after="120" w:line="300" w:lineRule="atLeast"/>
              <w:jc w:val="both"/>
              <w:rPr>
                <w:b/>
              </w:rPr>
            </w:pPr>
            <w:r w:rsidRPr="00912572">
              <w:rPr>
                <w:b/>
              </w:rPr>
              <w:t>Consultation Body</w:t>
            </w:r>
          </w:p>
        </w:tc>
        <w:tc>
          <w:tcPr>
            <w:tcW w:w="5335" w:type="dxa"/>
          </w:tcPr>
          <w:p w14:paraId="55ADA7C1" w14:textId="456704FE" w:rsidR="00381AE6" w:rsidRPr="00912572" w:rsidRDefault="00381AE6" w:rsidP="003169F7">
            <w:pPr>
              <w:spacing w:after="120" w:line="300" w:lineRule="atLeast"/>
              <w:jc w:val="both"/>
              <w:rPr>
                <w:b/>
              </w:rPr>
            </w:pPr>
            <w:r w:rsidRPr="00912572">
              <w:rPr>
                <w:b/>
              </w:rPr>
              <w:t>Comments</w:t>
            </w:r>
          </w:p>
        </w:tc>
      </w:tr>
      <w:tr w:rsidR="00912572" w:rsidRPr="00912572" w14:paraId="41DE1726" w14:textId="77777777" w:rsidTr="00912572">
        <w:tc>
          <w:tcPr>
            <w:tcW w:w="3113" w:type="dxa"/>
          </w:tcPr>
          <w:p w14:paraId="3E591CA9" w14:textId="0A54AE85" w:rsidR="00912572" w:rsidRPr="00912572" w:rsidRDefault="00912572" w:rsidP="003169F7">
            <w:pPr>
              <w:spacing w:after="120" w:line="300" w:lineRule="atLeast"/>
              <w:jc w:val="both"/>
            </w:pPr>
            <w:r w:rsidRPr="00912572">
              <w:t>Environment Agency</w:t>
            </w:r>
          </w:p>
        </w:tc>
        <w:tc>
          <w:tcPr>
            <w:tcW w:w="5335" w:type="dxa"/>
            <w:vAlign w:val="center"/>
          </w:tcPr>
          <w:p w14:paraId="4990CDE8" w14:textId="77777777" w:rsidR="00EB6005" w:rsidRPr="00EB6005" w:rsidRDefault="00EB6005" w:rsidP="00EB6005">
            <w:pPr>
              <w:autoSpaceDE w:val="0"/>
              <w:autoSpaceDN w:val="0"/>
              <w:adjustRightInd w:val="0"/>
              <w:rPr>
                <w:rFonts w:cs="SourceSansPro-Light"/>
                <w:i/>
              </w:rPr>
            </w:pPr>
            <w:r w:rsidRPr="00EB6005">
              <w:rPr>
                <w:rFonts w:cs="SourceSansPro-Light"/>
                <w:i/>
              </w:rPr>
              <w:t xml:space="preserve">I can confirm that we agree with your conclusion that due to the nature of the SPD itself and as it is expanding on Local Plan policy that has already been subject to SEA that no SEA is required for the SPD. </w:t>
            </w:r>
          </w:p>
          <w:p w14:paraId="7BAD4933" w14:textId="55FF98AB" w:rsidR="00912572" w:rsidRPr="00912572" w:rsidRDefault="00912572" w:rsidP="00EB6005">
            <w:pPr>
              <w:spacing w:after="120" w:line="300" w:lineRule="atLeast"/>
              <w:jc w:val="center"/>
              <w:rPr>
                <w:i/>
              </w:rPr>
            </w:pPr>
          </w:p>
        </w:tc>
      </w:tr>
      <w:tr w:rsidR="00912572" w:rsidRPr="00912572" w14:paraId="1597DBDD" w14:textId="77777777" w:rsidTr="00381AE6">
        <w:tc>
          <w:tcPr>
            <w:tcW w:w="3113" w:type="dxa"/>
          </w:tcPr>
          <w:p w14:paraId="002ADCC2" w14:textId="1081AE79" w:rsidR="00912572" w:rsidRPr="00912572" w:rsidRDefault="00912572" w:rsidP="003169F7">
            <w:pPr>
              <w:spacing w:after="120" w:line="300" w:lineRule="atLeast"/>
              <w:jc w:val="both"/>
            </w:pPr>
            <w:r w:rsidRPr="00912572">
              <w:t>Historic England</w:t>
            </w:r>
          </w:p>
        </w:tc>
        <w:tc>
          <w:tcPr>
            <w:tcW w:w="5335" w:type="dxa"/>
          </w:tcPr>
          <w:p w14:paraId="0763AAB0" w14:textId="4F2198E1" w:rsidR="00912572" w:rsidRPr="00EB6005" w:rsidRDefault="00EB6005" w:rsidP="00EB6005">
            <w:pPr>
              <w:autoSpaceDE w:val="0"/>
              <w:autoSpaceDN w:val="0"/>
              <w:adjustRightInd w:val="0"/>
              <w:rPr>
                <w:rFonts w:cs="SourceSansPro-Light"/>
                <w:i/>
              </w:rPr>
            </w:pPr>
            <w:r w:rsidRPr="00EB6005">
              <w:rPr>
                <w:rFonts w:cs="SourceSansPro-Light"/>
                <w:i/>
              </w:rPr>
              <w:t>In light of the Environmental Assessment of Plans and P</w:t>
            </w:r>
            <w:r>
              <w:rPr>
                <w:rFonts w:cs="SourceSansPro-Light"/>
                <w:i/>
              </w:rPr>
              <w:t xml:space="preserve">rogrammes Regulations 2004, our </w:t>
            </w:r>
            <w:r w:rsidRPr="00EB6005">
              <w:rPr>
                <w:rFonts w:cs="SourceSansPro-Light"/>
                <w:i/>
              </w:rPr>
              <w:t>view is that a SEA is not required in this instance for the reason set out in paragraph 3.4 of the Screening Report.</w:t>
            </w:r>
          </w:p>
        </w:tc>
      </w:tr>
      <w:tr w:rsidR="00912572" w14:paraId="01E721E8" w14:textId="77777777" w:rsidTr="00381AE6">
        <w:tc>
          <w:tcPr>
            <w:tcW w:w="3113" w:type="dxa"/>
          </w:tcPr>
          <w:p w14:paraId="7DDA586E" w14:textId="5A0F103A" w:rsidR="00912572" w:rsidRPr="00912572" w:rsidRDefault="00912572" w:rsidP="003169F7">
            <w:pPr>
              <w:spacing w:after="120" w:line="300" w:lineRule="atLeast"/>
              <w:jc w:val="both"/>
            </w:pPr>
            <w:r w:rsidRPr="00912572">
              <w:t>Natural England</w:t>
            </w:r>
          </w:p>
        </w:tc>
        <w:tc>
          <w:tcPr>
            <w:tcW w:w="5335" w:type="dxa"/>
          </w:tcPr>
          <w:p w14:paraId="3C7F7CE5" w14:textId="14217284" w:rsidR="00912572" w:rsidRPr="00912572" w:rsidRDefault="0017165E" w:rsidP="003169F7">
            <w:pPr>
              <w:spacing w:after="120" w:line="300" w:lineRule="atLeast"/>
              <w:jc w:val="both"/>
              <w:rPr>
                <w:i/>
              </w:rPr>
            </w:pPr>
            <w:r>
              <w:rPr>
                <w:i/>
              </w:rPr>
              <w:t>None</w:t>
            </w:r>
          </w:p>
        </w:tc>
      </w:tr>
    </w:tbl>
    <w:p w14:paraId="40F78730" w14:textId="77777777" w:rsidR="00381AE6" w:rsidRPr="00381AE6" w:rsidRDefault="00381AE6" w:rsidP="003169F7">
      <w:pPr>
        <w:spacing w:after="120" w:line="300" w:lineRule="atLeast"/>
        <w:ind w:left="568"/>
        <w:jc w:val="both"/>
      </w:pPr>
    </w:p>
    <w:p w14:paraId="5C4F3107" w14:textId="54BBEF6C" w:rsidR="00EB6DE2" w:rsidRPr="00912572" w:rsidRDefault="00EB6DE2" w:rsidP="003169F7">
      <w:pPr>
        <w:spacing w:after="120" w:line="300" w:lineRule="atLeast"/>
        <w:ind w:left="568"/>
        <w:jc w:val="both"/>
        <w:rPr>
          <w:b/>
        </w:rPr>
      </w:pPr>
      <w:r w:rsidRPr="00912572">
        <w:rPr>
          <w:b/>
        </w:rPr>
        <w:t>T</w:t>
      </w:r>
      <w:r w:rsidR="00381AE6" w:rsidRPr="00912572">
        <w:rPr>
          <w:b/>
        </w:rPr>
        <w:t>able 2</w:t>
      </w:r>
      <w:r w:rsidRPr="00912572">
        <w:rPr>
          <w:b/>
        </w:rPr>
        <w:t xml:space="preserve"> – SEA Screening for the </w:t>
      </w:r>
      <w:r w:rsidR="000A23ED" w:rsidRPr="00912572">
        <w:rPr>
          <w:b/>
        </w:rPr>
        <w:t>Sustainable Construction SPD</w:t>
      </w:r>
    </w:p>
    <w:tbl>
      <w:tblPr>
        <w:tblStyle w:val="TableGrid"/>
        <w:tblW w:w="0" w:type="auto"/>
        <w:tblInd w:w="568" w:type="dxa"/>
        <w:tblLook w:val="04A0" w:firstRow="1" w:lastRow="0" w:firstColumn="1" w:lastColumn="0" w:noHBand="0" w:noVBand="1"/>
      </w:tblPr>
      <w:tblGrid>
        <w:gridCol w:w="2971"/>
        <w:gridCol w:w="5477"/>
      </w:tblGrid>
      <w:tr w:rsidR="00EB6DE2" w:rsidRPr="00912572" w14:paraId="322548B1" w14:textId="77777777" w:rsidTr="001A0E61">
        <w:tc>
          <w:tcPr>
            <w:tcW w:w="2971" w:type="dxa"/>
          </w:tcPr>
          <w:p w14:paraId="492451D0" w14:textId="14A787A9" w:rsidR="00EB6DE2" w:rsidRPr="00912572" w:rsidRDefault="00EB6DE2" w:rsidP="003169F7">
            <w:pPr>
              <w:spacing w:after="120"/>
              <w:rPr>
                <w:b/>
              </w:rPr>
            </w:pPr>
            <w:r w:rsidRPr="00912572">
              <w:rPr>
                <w:b/>
              </w:rPr>
              <w:t>Criteria (from Annex II) of the SEA Directive and Schedule 1 of the Regulations</w:t>
            </w:r>
          </w:p>
        </w:tc>
        <w:tc>
          <w:tcPr>
            <w:tcW w:w="5477" w:type="dxa"/>
          </w:tcPr>
          <w:p w14:paraId="11638656" w14:textId="7A0C1C0F" w:rsidR="00EB6DE2" w:rsidRPr="00912572" w:rsidRDefault="00EB6DE2" w:rsidP="003169F7">
            <w:pPr>
              <w:spacing w:after="120"/>
              <w:rPr>
                <w:b/>
              </w:rPr>
            </w:pPr>
            <w:r w:rsidRPr="00912572">
              <w:rPr>
                <w:b/>
              </w:rPr>
              <w:t>SDNPA Comments</w:t>
            </w:r>
          </w:p>
        </w:tc>
      </w:tr>
      <w:tr w:rsidR="00EB6DE2" w:rsidRPr="001879EF" w14:paraId="610BEDF0" w14:textId="77777777" w:rsidTr="002C2EFC">
        <w:tc>
          <w:tcPr>
            <w:tcW w:w="8448" w:type="dxa"/>
            <w:gridSpan w:val="2"/>
          </w:tcPr>
          <w:p w14:paraId="6AAF458C" w14:textId="7DC39E5A" w:rsidR="00EB6DE2" w:rsidRPr="001879EF" w:rsidRDefault="00EB6DE2" w:rsidP="003169F7">
            <w:pPr>
              <w:spacing w:after="120"/>
              <w:rPr>
                <w:b/>
              </w:rPr>
            </w:pPr>
            <w:r w:rsidRPr="001879EF">
              <w:rPr>
                <w:b/>
              </w:rPr>
              <w:t>Characteristics of the plan or programme</w:t>
            </w:r>
          </w:p>
        </w:tc>
      </w:tr>
      <w:tr w:rsidR="00EB6DE2" w:rsidRPr="001879EF" w14:paraId="28300667" w14:textId="77777777" w:rsidTr="001A0E61">
        <w:tc>
          <w:tcPr>
            <w:tcW w:w="2971" w:type="dxa"/>
          </w:tcPr>
          <w:p w14:paraId="21B4077A" w14:textId="5F21BE5C" w:rsidR="00EB6DE2" w:rsidRPr="001879EF" w:rsidRDefault="00EB6DE2" w:rsidP="003169F7">
            <w:pPr>
              <w:spacing w:after="120"/>
            </w:pPr>
            <w:r w:rsidRPr="001879EF">
              <w:t xml:space="preserve">a) The degree to which the plan or programme sets a framework for projects and other activities, either with regards to the location, nature, size and operating </w:t>
            </w:r>
            <w:r w:rsidRPr="001879EF">
              <w:lastRenderedPageBreak/>
              <w:t>conditions or by allocating resources.</w:t>
            </w:r>
          </w:p>
        </w:tc>
        <w:tc>
          <w:tcPr>
            <w:tcW w:w="5477" w:type="dxa"/>
          </w:tcPr>
          <w:p w14:paraId="6D4B6E33" w14:textId="7DC73183" w:rsidR="00E63957" w:rsidRDefault="00EB6DE2" w:rsidP="003169F7">
            <w:pPr>
              <w:spacing w:after="120"/>
            </w:pPr>
            <w:r w:rsidRPr="001879EF">
              <w:lastRenderedPageBreak/>
              <w:t xml:space="preserve">The </w:t>
            </w:r>
            <w:r w:rsidR="000A23ED" w:rsidRPr="001879EF">
              <w:t>Sustainable Construction SPD</w:t>
            </w:r>
            <w:r w:rsidRPr="001879EF">
              <w:t xml:space="preserve"> sits at the lowest tier of the devel</w:t>
            </w:r>
            <w:r w:rsidR="001A0E61" w:rsidRPr="001879EF">
              <w:t>opment plan system.  It provide</w:t>
            </w:r>
            <w:r w:rsidR="003C499D">
              <w:t>s</w:t>
            </w:r>
            <w:bookmarkStart w:id="0" w:name="_GoBack"/>
            <w:bookmarkEnd w:id="0"/>
            <w:r w:rsidR="001A0E61" w:rsidRPr="001879EF">
              <w:t xml:space="preserve"> more detail on the policies and principles contained in the Adopted </w:t>
            </w:r>
            <w:r w:rsidR="00E63957">
              <w:t xml:space="preserve">South Downs </w:t>
            </w:r>
            <w:r w:rsidR="001A0E61" w:rsidRPr="001879EF">
              <w:t xml:space="preserve">Local Plan, specifically </w:t>
            </w:r>
            <w:r w:rsidR="00E63957">
              <w:t xml:space="preserve">policies </w:t>
            </w:r>
            <w:r w:rsidR="000A23ED" w:rsidRPr="001879EF">
              <w:t xml:space="preserve">SD2 Ecosystem Services; SD48: Climate Change and Sustainable Use of Resources; the element of SD22: </w:t>
            </w:r>
            <w:r w:rsidR="000A23ED" w:rsidRPr="001879EF">
              <w:rPr>
                <w:noProof/>
              </w:rPr>
              <w:lastRenderedPageBreak/>
              <w:t>Parking Provision, as it relates to electric vehicle charging;</w:t>
            </w:r>
            <w:r w:rsidR="000A23ED" w:rsidRPr="001879EF">
              <w:t xml:space="preserve"> and SD3 Major Development. </w:t>
            </w:r>
          </w:p>
          <w:p w14:paraId="021CC3A2" w14:textId="77777777" w:rsidR="00E63957" w:rsidRDefault="00E63957" w:rsidP="003169F7">
            <w:pPr>
              <w:spacing w:after="120"/>
            </w:pPr>
          </w:p>
          <w:p w14:paraId="65191522" w14:textId="53586B64" w:rsidR="001A0E61" w:rsidRPr="001879EF" w:rsidRDefault="000A23ED" w:rsidP="003169F7">
            <w:pPr>
              <w:spacing w:after="120"/>
            </w:pPr>
            <w:r w:rsidRPr="001879EF">
              <w:t xml:space="preserve">The </w:t>
            </w:r>
            <w:r w:rsidR="001A0E61" w:rsidRPr="001879EF">
              <w:t xml:space="preserve">Local Plan was subject to a full SA/SEA.  </w:t>
            </w:r>
          </w:p>
          <w:p w14:paraId="5653B581" w14:textId="77777777" w:rsidR="00E63957" w:rsidRDefault="00E63957" w:rsidP="003169F7">
            <w:pPr>
              <w:spacing w:after="120"/>
            </w:pPr>
          </w:p>
          <w:p w14:paraId="128F8D65" w14:textId="2921A7D2" w:rsidR="002C2EFC" w:rsidRPr="001879EF" w:rsidRDefault="00E63957" w:rsidP="003169F7">
            <w:pPr>
              <w:spacing w:after="120"/>
            </w:pPr>
            <w:r>
              <w:t xml:space="preserve">The </w:t>
            </w:r>
            <w:r w:rsidR="000A23ED" w:rsidRPr="001879EF">
              <w:t>SPD applies to the whole of the South Downs National Park</w:t>
            </w:r>
            <w:r w:rsidR="001A0E61" w:rsidRPr="001879EF">
              <w:t xml:space="preserve"> but does not directly determine the location, nature or size of </w:t>
            </w:r>
            <w:r w:rsidR="00302B50" w:rsidRPr="001879EF">
              <w:t xml:space="preserve">a project.  It is more directly relevant to how that project is implemented or constructed. </w:t>
            </w:r>
          </w:p>
        </w:tc>
      </w:tr>
      <w:tr w:rsidR="00EB6DE2" w:rsidRPr="001879EF" w14:paraId="2D8777B8" w14:textId="77777777" w:rsidTr="001A0E61">
        <w:tc>
          <w:tcPr>
            <w:tcW w:w="2971" w:type="dxa"/>
          </w:tcPr>
          <w:p w14:paraId="5572656C" w14:textId="729E9EAB" w:rsidR="00EB6DE2" w:rsidRPr="001879EF" w:rsidRDefault="00EB6DE2" w:rsidP="003169F7">
            <w:pPr>
              <w:spacing w:after="120"/>
            </w:pPr>
            <w:r w:rsidRPr="001879EF">
              <w:lastRenderedPageBreak/>
              <w:t>b) The degree to which the plan or programme influences other plans and programmes including those in a hierarchy.</w:t>
            </w:r>
          </w:p>
        </w:tc>
        <w:tc>
          <w:tcPr>
            <w:tcW w:w="5477" w:type="dxa"/>
          </w:tcPr>
          <w:p w14:paraId="20A9CF6E" w14:textId="1165B622" w:rsidR="000A23ED" w:rsidRPr="001879EF" w:rsidRDefault="00302B50" w:rsidP="003169F7">
            <w:pPr>
              <w:spacing w:after="120"/>
            </w:pPr>
            <w:r w:rsidRPr="001879EF">
              <w:t xml:space="preserve">The requirements for sustainable construction are already set out in the Adopted </w:t>
            </w:r>
            <w:r w:rsidR="00E63957">
              <w:t xml:space="preserve">South Downs </w:t>
            </w:r>
            <w:r w:rsidRPr="001879EF">
              <w:t>Local Plan.  The SPD provides additional detail.  The adoption of this SPD may influence forthcoming Area Action Plans and N</w:t>
            </w:r>
            <w:r w:rsidR="00E63957">
              <w:t xml:space="preserve">eighbourhood Development Plans due to the greater prominence of this issues that will be generated as a result of the SPD. </w:t>
            </w:r>
            <w:r w:rsidR="00EB6DE2" w:rsidRPr="001879EF">
              <w:t xml:space="preserve"> </w:t>
            </w:r>
            <w:r w:rsidR="00E63957">
              <w:t>I</w:t>
            </w:r>
            <w:r w:rsidRPr="001879EF">
              <w:t>t is more likely that the issues will be considered from the outset</w:t>
            </w:r>
            <w:r w:rsidR="00E63957">
              <w:t xml:space="preserve"> which often leads to better outcomes</w:t>
            </w:r>
            <w:r w:rsidRPr="001879EF">
              <w:t xml:space="preserve">.  This could lead to </w:t>
            </w:r>
            <w:r w:rsidR="00E63957">
              <w:t>some</w:t>
            </w:r>
            <w:r w:rsidRPr="001879EF">
              <w:t xml:space="preserve"> positive effects above those resulting from the Local Plan. </w:t>
            </w:r>
          </w:p>
        </w:tc>
      </w:tr>
      <w:tr w:rsidR="00EB6DE2" w:rsidRPr="001879EF" w14:paraId="09B2A160" w14:textId="77777777" w:rsidTr="001A0E61">
        <w:tc>
          <w:tcPr>
            <w:tcW w:w="2971" w:type="dxa"/>
          </w:tcPr>
          <w:p w14:paraId="41088FA2" w14:textId="1A6F2E24" w:rsidR="00EB6DE2" w:rsidRPr="001879EF" w:rsidRDefault="00EB6DE2" w:rsidP="003169F7">
            <w:pPr>
              <w:spacing w:after="120"/>
            </w:pPr>
            <w:r w:rsidRPr="001879EF">
              <w:t>c) The relevance of the plan or programme for the integration of environmental considerations, in particular with a view to promoting sustainable development.</w:t>
            </w:r>
          </w:p>
        </w:tc>
        <w:tc>
          <w:tcPr>
            <w:tcW w:w="5477" w:type="dxa"/>
          </w:tcPr>
          <w:p w14:paraId="63453A3F" w14:textId="30FD2999" w:rsidR="000A23ED" w:rsidRPr="001879EF" w:rsidRDefault="00E63957" w:rsidP="003169F7">
            <w:pPr>
              <w:spacing w:after="120"/>
            </w:pPr>
            <w:r>
              <w:t xml:space="preserve">The content of the SPD </w:t>
            </w:r>
            <w:r w:rsidR="00302B50" w:rsidRPr="001879EF">
              <w:t>is directly and positively linked to the promotion of sustainable development.</w:t>
            </w:r>
          </w:p>
          <w:p w14:paraId="007AFFC4" w14:textId="498F3444" w:rsidR="002C2EFC" w:rsidRPr="001879EF" w:rsidRDefault="002C2EFC" w:rsidP="003169F7">
            <w:pPr>
              <w:spacing w:after="120"/>
            </w:pPr>
          </w:p>
        </w:tc>
      </w:tr>
      <w:tr w:rsidR="00EB6DE2" w:rsidRPr="001879EF" w14:paraId="0EF50D33" w14:textId="77777777" w:rsidTr="001A0E61">
        <w:tc>
          <w:tcPr>
            <w:tcW w:w="2971" w:type="dxa"/>
          </w:tcPr>
          <w:p w14:paraId="24E5A8EF" w14:textId="37C65384" w:rsidR="00EB6DE2" w:rsidRPr="001879EF" w:rsidRDefault="00EB6DE2" w:rsidP="003169F7">
            <w:pPr>
              <w:spacing w:after="120"/>
            </w:pPr>
            <w:r w:rsidRPr="001879EF">
              <w:t>d) Environmental problems relevant to the plan or programme.</w:t>
            </w:r>
          </w:p>
        </w:tc>
        <w:tc>
          <w:tcPr>
            <w:tcW w:w="5477" w:type="dxa"/>
          </w:tcPr>
          <w:p w14:paraId="3741A687" w14:textId="132C6ACE" w:rsidR="00DE5E4B" w:rsidRDefault="00DE5E4B" w:rsidP="003169F7">
            <w:pPr>
              <w:spacing w:after="120"/>
              <w:rPr>
                <w:rFonts w:cs="AECOM Sans"/>
                <w:color w:val="000000"/>
              </w:rPr>
            </w:pPr>
            <w:r w:rsidRPr="001879EF">
              <w:rPr>
                <w:rFonts w:cs="AECOM Sans"/>
                <w:color w:val="000000"/>
              </w:rPr>
              <w:t>UK air temperatures are predicted to continue to rise</w:t>
            </w:r>
            <w:r w:rsidR="001879EF" w:rsidRPr="001879EF">
              <w:rPr>
                <w:rFonts w:cs="AECOM Sans"/>
                <w:color w:val="000000"/>
              </w:rPr>
              <w:t>,</w:t>
            </w:r>
            <w:r w:rsidRPr="001879EF">
              <w:rPr>
                <w:rFonts w:cs="AECOM Sans"/>
                <w:color w:val="000000"/>
              </w:rPr>
              <w:t xml:space="preserve"> with 10 of the hottest years recorded since 1999. The strongest average monthly temperature increases have been in the South East along with the Midlands and East Anglia. </w:t>
            </w:r>
            <w:r w:rsidR="00B7617C" w:rsidRPr="001879EF">
              <w:rPr>
                <w:rFonts w:cs="AECOM Sans"/>
                <w:color w:val="000000"/>
              </w:rPr>
              <w:t>Project</w:t>
            </w:r>
            <w:r w:rsidR="001879EF" w:rsidRPr="001879EF">
              <w:rPr>
                <w:rFonts w:cs="AECOM Sans"/>
                <w:color w:val="000000"/>
              </w:rPr>
              <w:t>ions</w:t>
            </w:r>
            <w:r w:rsidR="00B7617C" w:rsidRPr="001879EF">
              <w:rPr>
                <w:rFonts w:cs="AECOM Sans"/>
                <w:color w:val="000000"/>
              </w:rPr>
              <w:t xml:space="preserve"> indicate that </w:t>
            </w:r>
            <w:r w:rsidRPr="001879EF">
              <w:rPr>
                <w:rFonts w:cs="AECOM Sans"/>
                <w:color w:val="000000"/>
              </w:rPr>
              <w:t>the South East will experience hotter, drier summers and warmer wetter winters with more extreme weather events. Sea level rise</w:t>
            </w:r>
            <w:r w:rsidR="00B7617C" w:rsidRPr="001879EF">
              <w:rPr>
                <w:rFonts w:cs="AECOM Sans"/>
                <w:color w:val="000000"/>
              </w:rPr>
              <w:t xml:space="preserve">s are predicted for the </w:t>
            </w:r>
            <w:r w:rsidRPr="001879EF">
              <w:rPr>
                <w:rFonts w:cs="AECOM Sans"/>
                <w:color w:val="000000"/>
              </w:rPr>
              <w:t xml:space="preserve">south east </w:t>
            </w:r>
            <w:r w:rsidR="00B7617C" w:rsidRPr="001879EF">
              <w:rPr>
                <w:rFonts w:cs="AECOM Sans"/>
                <w:color w:val="000000"/>
              </w:rPr>
              <w:t xml:space="preserve">as a result of isostatic readjustment and ice sheet melt.  </w:t>
            </w:r>
          </w:p>
          <w:p w14:paraId="25EFCDCF" w14:textId="77777777" w:rsidR="001879EF" w:rsidRPr="001879EF" w:rsidRDefault="001879EF" w:rsidP="003169F7">
            <w:pPr>
              <w:spacing w:after="120"/>
              <w:rPr>
                <w:rFonts w:cs="AECOM Sans"/>
                <w:color w:val="000000"/>
              </w:rPr>
            </w:pPr>
          </w:p>
          <w:p w14:paraId="3428A4D5" w14:textId="3EED3622" w:rsidR="00DE5E4B" w:rsidRDefault="00DE5E4B" w:rsidP="003169F7">
            <w:pPr>
              <w:spacing w:after="120"/>
              <w:rPr>
                <w:rFonts w:cs="AECOM Sans"/>
                <w:color w:val="000000"/>
              </w:rPr>
            </w:pPr>
            <w:r w:rsidRPr="001879EF">
              <w:rPr>
                <w:rFonts w:cs="AECOM Sans"/>
                <w:color w:val="000000"/>
              </w:rPr>
              <w:t xml:space="preserve">Climate change will result in a range of direct and indirect effects on both the natural and human </w:t>
            </w:r>
            <w:r w:rsidR="00E63957">
              <w:rPr>
                <w:rFonts w:cs="AECOM Sans"/>
                <w:color w:val="000000"/>
              </w:rPr>
              <w:t xml:space="preserve">environment including flooding and </w:t>
            </w:r>
            <w:r w:rsidRPr="001879EF">
              <w:rPr>
                <w:rFonts w:cs="AECOM Sans"/>
                <w:color w:val="000000"/>
              </w:rPr>
              <w:t>increased soil erosion related to</w:t>
            </w:r>
            <w:r w:rsidR="00E63957">
              <w:rPr>
                <w:rFonts w:cs="AECOM Sans"/>
                <w:color w:val="000000"/>
              </w:rPr>
              <w:t xml:space="preserve"> </w:t>
            </w:r>
            <w:r w:rsidRPr="001879EF">
              <w:rPr>
                <w:rFonts w:cs="AECOM Sans"/>
                <w:color w:val="000000"/>
              </w:rPr>
              <w:t>current and projected wetter winters. This may impact on soil condition with increased erosion and nutrient loss. Drier summers will exacerbate the predicted supply/</w:t>
            </w:r>
            <w:r w:rsidR="00B7617C" w:rsidRPr="001879EF">
              <w:rPr>
                <w:rFonts w:cs="AECOM Sans"/>
                <w:color w:val="000000"/>
              </w:rPr>
              <w:t xml:space="preserve">demand deficit for water supply and extreme weather events </w:t>
            </w:r>
            <w:r w:rsidR="00E63957">
              <w:rPr>
                <w:rFonts w:cs="AECOM Sans"/>
                <w:color w:val="000000"/>
              </w:rPr>
              <w:t>will</w:t>
            </w:r>
            <w:r w:rsidR="00B7617C" w:rsidRPr="001879EF">
              <w:rPr>
                <w:rFonts w:cs="AECOM Sans"/>
                <w:color w:val="000000"/>
              </w:rPr>
              <w:t xml:space="preserve"> impact on human health. </w:t>
            </w:r>
          </w:p>
          <w:p w14:paraId="6B6248A1" w14:textId="34892CD1" w:rsidR="00B7617C" w:rsidRPr="001879EF" w:rsidRDefault="00B7617C" w:rsidP="003169F7">
            <w:pPr>
              <w:spacing w:after="120"/>
              <w:rPr>
                <w:rFonts w:cs="AECOM Sans"/>
                <w:color w:val="000000"/>
              </w:rPr>
            </w:pPr>
          </w:p>
          <w:p w14:paraId="1A805423" w14:textId="2EB202A3" w:rsidR="00DE5E4B" w:rsidRPr="001879EF" w:rsidRDefault="00B7617C" w:rsidP="003169F7">
            <w:pPr>
              <w:spacing w:after="120"/>
              <w:rPr>
                <w:rFonts w:cs="AECOM Sans"/>
                <w:color w:val="000000"/>
              </w:rPr>
            </w:pPr>
            <w:r w:rsidRPr="001879EF">
              <w:rPr>
                <w:rFonts w:cs="AECOM Sans"/>
                <w:color w:val="000000"/>
              </w:rPr>
              <w:t>Evidence prepared to support the preparation of the Local Plan shows that</w:t>
            </w:r>
            <w:r w:rsidR="00DE5E4B" w:rsidRPr="001879EF">
              <w:rPr>
                <w:rFonts w:cs="AECOM Sans"/>
                <w:color w:val="000000"/>
              </w:rPr>
              <w:t xml:space="preserve">: </w:t>
            </w:r>
          </w:p>
          <w:p w14:paraId="4828956F" w14:textId="4F054165" w:rsidR="00DE5E4B" w:rsidRPr="001879EF" w:rsidRDefault="00DE5E4B" w:rsidP="003169F7">
            <w:pPr>
              <w:pStyle w:val="ListParagraph"/>
              <w:numPr>
                <w:ilvl w:val="0"/>
                <w:numId w:val="23"/>
              </w:numPr>
              <w:spacing w:after="120"/>
              <w:rPr>
                <w:rFonts w:cs="AECOM Sans"/>
                <w:color w:val="000000"/>
              </w:rPr>
            </w:pPr>
            <w:r w:rsidRPr="001879EF">
              <w:rPr>
                <w:rFonts w:cs="AECOM Sans"/>
                <w:color w:val="000000"/>
              </w:rPr>
              <w:lastRenderedPageBreak/>
              <w:t xml:space="preserve">Annual energy demand within buildings in the National Park is around 2,287,271MWh. Given the current mix of fuel sources used, this contributes around 675,438 tCO2/yr. </w:t>
            </w:r>
          </w:p>
          <w:p w14:paraId="57F9B18B" w14:textId="7A6F8FB6" w:rsidR="00DE5E4B" w:rsidRPr="001879EF" w:rsidRDefault="00DE5E4B" w:rsidP="003169F7">
            <w:pPr>
              <w:pStyle w:val="ListParagraph"/>
              <w:numPr>
                <w:ilvl w:val="0"/>
                <w:numId w:val="23"/>
              </w:numPr>
              <w:spacing w:after="120"/>
              <w:rPr>
                <w:rFonts w:cs="AECOM Sans"/>
                <w:color w:val="000000"/>
              </w:rPr>
            </w:pPr>
            <w:r w:rsidRPr="001879EF">
              <w:rPr>
                <w:rFonts w:cs="AECOM Sans"/>
                <w:color w:val="000000"/>
              </w:rPr>
              <w:t xml:space="preserve">Energy use is generally higher per residential dwelling than it is in other parts of the country, reflecting the largely detached and semi-detached nature of the housing stock. The majority of this demand comes from residential energy use. </w:t>
            </w:r>
          </w:p>
          <w:p w14:paraId="211D02C1" w14:textId="2A1965B1" w:rsidR="00DE5E4B" w:rsidRDefault="00DE5E4B" w:rsidP="003169F7">
            <w:pPr>
              <w:pStyle w:val="ListParagraph"/>
              <w:numPr>
                <w:ilvl w:val="0"/>
                <w:numId w:val="23"/>
              </w:numPr>
              <w:spacing w:after="120"/>
              <w:rPr>
                <w:rFonts w:cs="AECOM Sans"/>
                <w:color w:val="000000"/>
              </w:rPr>
            </w:pPr>
            <w:r w:rsidRPr="001879EF">
              <w:rPr>
                <w:rFonts w:cs="AECOM Sans"/>
                <w:color w:val="000000"/>
              </w:rPr>
              <w:t xml:space="preserve">Taking into account savings already made nationally, to achieve an 80% reduction in CO2 emissions based on 1990 levels by, the SDNP would need to reduce building related emissions to 164,751 tCO2/yr. </w:t>
            </w:r>
          </w:p>
          <w:p w14:paraId="2B5F0275" w14:textId="6007D337" w:rsidR="00E63957" w:rsidRPr="001879EF" w:rsidRDefault="00E63957" w:rsidP="003169F7">
            <w:pPr>
              <w:pStyle w:val="ListParagraph"/>
              <w:numPr>
                <w:ilvl w:val="0"/>
                <w:numId w:val="23"/>
              </w:numPr>
              <w:spacing w:after="120"/>
              <w:rPr>
                <w:rFonts w:cs="AECOM Sans"/>
                <w:color w:val="000000"/>
              </w:rPr>
            </w:pPr>
            <w:r w:rsidRPr="00E63957">
              <w:rPr>
                <w:rFonts w:cs="AECOM Sans"/>
                <w:color w:val="000000"/>
              </w:rPr>
              <w:t>Generation of electricity from renewable sources is increasing in the South East including that generated by the Rampion Offshore Wind Farm.</w:t>
            </w:r>
          </w:p>
          <w:p w14:paraId="32C3C051" w14:textId="77777777" w:rsidR="00E63957" w:rsidRDefault="00E63957" w:rsidP="003169F7">
            <w:pPr>
              <w:spacing w:after="120"/>
              <w:rPr>
                <w:rFonts w:cs="AECOM Sans"/>
                <w:color w:val="000000"/>
              </w:rPr>
            </w:pPr>
          </w:p>
          <w:p w14:paraId="444E2173" w14:textId="1F30D0C0" w:rsidR="00DE5E4B" w:rsidRDefault="00DE5E4B" w:rsidP="003169F7">
            <w:pPr>
              <w:spacing w:after="120"/>
              <w:rPr>
                <w:rFonts w:cs="AECOM Sans"/>
                <w:color w:val="000000"/>
              </w:rPr>
            </w:pPr>
            <w:r w:rsidRPr="001879EF">
              <w:rPr>
                <w:rFonts w:cs="AECOM Sans"/>
                <w:color w:val="000000"/>
              </w:rPr>
              <w:t xml:space="preserve">The SDNP is the custodian of land rich in woodlands and there is significant potential for additional carbon sequestration through additional woodland planting in the National Park. </w:t>
            </w:r>
          </w:p>
          <w:p w14:paraId="2EC50DF3" w14:textId="77777777" w:rsidR="00E63957" w:rsidRPr="001879EF" w:rsidRDefault="00E63957" w:rsidP="003169F7">
            <w:pPr>
              <w:spacing w:after="120"/>
            </w:pPr>
          </w:p>
          <w:p w14:paraId="198E9BA0" w14:textId="11BC4772" w:rsidR="002C2EFC" w:rsidRPr="001879EF" w:rsidRDefault="001879EF" w:rsidP="003169F7">
            <w:pPr>
              <w:spacing w:after="120"/>
            </w:pPr>
            <w:r w:rsidRPr="001879EF">
              <w:rPr>
                <w:rFonts w:cs="ArialMT"/>
              </w:rPr>
              <w:t>The SPD will not introduce or exacerbate</w:t>
            </w:r>
            <w:r w:rsidR="005C2A83">
              <w:rPr>
                <w:rFonts w:cs="ArialMT"/>
              </w:rPr>
              <w:t xml:space="preserve"> </w:t>
            </w:r>
            <w:r w:rsidRPr="001879EF">
              <w:rPr>
                <w:rFonts w:cs="ArialMT"/>
              </w:rPr>
              <w:t>any environmental problems. Rather, it will</w:t>
            </w:r>
            <w:r w:rsidR="005C2A83">
              <w:rPr>
                <w:rFonts w:cs="ArialMT"/>
              </w:rPr>
              <w:t xml:space="preserve"> </w:t>
            </w:r>
            <w:r w:rsidRPr="001879EF">
              <w:rPr>
                <w:rFonts w:cs="ArialMT"/>
              </w:rPr>
              <w:t>have a positive impact helping to address</w:t>
            </w:r>
            <w:r w:rsidR="005C2A83">
              <w:rPr>
                <w:rFonts w:cs="ArialMT"/>
              </w:rPr>
              <w:t xml:space="preserve"> </w:t>
            </w:r>
            <w:r w:rsidRPr="001879EF">
              <w:rPr>
                <w:rFonts w:cs="ArialMT"/>
              </w:rPr>
              <w:t xml:space="preserve">environmental problems identified. </w:t>
            </w:r>
            <w:r w:rsidR="00171C6A" w:rsidRPr="00E63957">
              <w:t xml:space="preserve">It is </w:t>
            </w:r>
            <w:r w:rsidR="00E63957">
              <w:t xml:space="preserve">also making </w:t>
            </w:r>
            <w:r w:rsidR="00171C6A" w:rsidRPr="00E63957">
              <w:t>a contribution towards tackling global climate change.</w:t>
            </w:r>
          </w:p>
        </w:tc>
      </w:tr>
      <w:tr w:rsidR="00EB6DE2" w:rsidRPr="001879EF" w14:paraId="0BC3DF90" w14:textId="77777777" w:rsidTr="001A0E61">
        <w:tc>
          <w:tcPr>
            <w:tcW w:w="2971" w:type="dxa"/>
          </w:tcPr>
          <w:p w14:paraId="6A0824F8" w14:textId="09A9EA0E" w:rsidR="00EB6DE2" w:rsidRPr="001879EF" w:rsidRDefault="00EB6DE2" w:rsidP="003169F7">
            <w:pPr>
              <w:spacing w:after="120"/>
            </w:pPr>
            <w:r w:rsidRPr="001879EF">
              <w:lastRenderedPageBreak/>
              <w:t>e) The relevance of the plan or programme for the implementation of Community (EU) legislation on the environment (for example plans and programmes linked to waste management or water protection).</w:t>
            </w:r>
          </w:p>
        </w:tc>
        <w:tc>
          <w:tcPr>
            <w:tcW w:w="5477" w:type="dxa"/>
          </w:tcPr>
          <w:p w14:paraId="68E13043" w14:textId="4728ED0B" w:rsidR="001879EF" w:rsidRPr="00E63957" w:rsidRDefault="001879EF" w:rsidP="003169F7">
            <w:pPr>
              <w:spacing w:after="120"/>
              <w:rPr>
                <w:rFonts w:cs="ArialMT"/>
              </w:rPr>
            </w:pPr>
            <w:r w:rsidRPr="00E63957">
              <w:rPr>
                <w:rFonts w:cs="ArialMT"/>
              </w:rPr>
              <w:t>The SPD will help support the</w:t>
            </w:r>
            <w:r w:rsidR="005C2A83" w:rsidRPr="00E63957">
              <w:rPr>
                <w:rFonts w:cs="ArialMT"/>
              </w:rPr>
              <w:t xml:space="preserve"> </w:t>
            </w:r>
            <w:r w:rsidRPr="00E63957">
              <w:rPr>
                <w:rFonts w:cs="ArialMT"/>
              </w:rPr>
              <w:t xml:space="preserve">implementation of the Local Plan which in itself is contributing or responding to EU legislation, for example: </w:t>
            </w:r>
          </w:p>
          <w:p w14:paraId="27BFAA2B" w14:textId="03A03A1D" w:rsidR="00752953" w:rsidRPr="00E63957" w:rsidRDefault="00171C6A" w:rsidP="003169F7">
            <w:pPr>
              <w:pStyle w:val="ListParagraph"/>
              <w:numPr>
                <w:ilvl w:val="0"/>
                <w:numId w:val="24"/>
              </w:numPr>
              <w:spacing w:after="120"/>
            </w:pPr>
            <w:r w:rsidRPr="00E63957">
              <w:t xml:space="preserve">EU Directive </w:t>
            </w:r>
            <w:r w:rsidR="00752953" w:rsidRPr="00E63957">
              <w:t>2009/28/EC Energy produced from renewable energy sources</w:t>
            </w:r>
          </w:p>
          <w:p w14:paraId="232E9A1B" w14:textId="77777777" w:rsidR="00EB6DE2" w:rsidRPr="00E63957" w:rsidRDefault="00925F05" w:rsidP="003169F7">
            <w:pPr>
              <w:pStyle w:val="ListParagraph"/>
              <w:numPr>
                <w:ilvl w:val="0"/>
                <w:numId w:val="24"/>
              </w:numPr>
              <w:spacing w:after="120"/>
            </w:pPr>
            <w:r w:rsidRPr="00E63957">
              <w:t xml:space="preserve">EU Directive </w:t>
            </w:r>
            <w:hyperlink r:id="rId10" w:history="1">
              <w:r w:rsidRPr="00E63957">
                <w:t>2018/844/EU</w:t>
              </w:r>
            </w:hyperlink>
            <w:r w:rsidRPr="00E63957">
              <w:t xml:space="preserve"> Energy Performance of Buildings</w:t>
            </w:r>
          </w:p>
          <w:p w14:paraId="72E248F6" w14:textId="4DB36BBA" w:rsidR="00925F05" w:rsidRPr="00E63957" w:rsidRDefault="00925F05" w:rsidP="003169F7">
            <w:pPr>
              <w:pStyle w:val="ListParagraph"/>
              <w:numPr>
                <w:ilvl w:val="0"/>
                <w:numId w:val="24"/>
              </w:numPr>
              <w:spacing w:after="120"/>
              <w:rPr>
                <w:lang w:val="en"/>
              </w:rPr>
            </w:pPr>
            <w:r w:rsidRPr="00E63957">
              <w:t xml:space="preserve">EU Directive  2008/98/EC </w:t>
            </w:r>
            <w:hyperlink r:id="rId11" w:history="1">
              <w:r w:rsidRPr="00E63957">
                <w:t>Waste framework directive</w:t>
              </w:r>
            </w:hyperlink>
            <w:r w:rsidRPr="00E63957">
              <w:rPr>
                <w:lang w:val="en"/>
              </w:rPr>
              <w:t xml:space="preserve"> </w:t>
            </w:r>
          </w:p>
          <w:p w14:paraId="7ED3C7E7" w14:textId="317B523F" w:rsidR="001879EF" w:rsidRPr="00E63957" w:rsidRDefault="001879EF" w:rsidP="003169F7">
            <w:pPr>
              <w:pStyle w:val="ListParagraph"/>
              <w:numPr>
                <w:ilvl w:val="0"/>
                <w:numId w:val="24"/>
              </w:numPr>
              <w:spacing w:after="120"/>
              <w:rPr>
                <w:rFonts w:cs="AECOM Sans"/>
                <w:color w:val="000000"/>
              </w:rPr>
            </w:pPr>
            <w:r w:rsidRPr="00E63957">
              <w:rPr>
                <w:rFonts w:cs="AECOM Sans"/>
                <w:color w:val="000000"/>
              </w:rPr>
              <w:t xml:space="preserve">Commission of the European Communities (2007) Limiting Global Climate Change to two degrees Celsius: The way ahead for 2020 and beyond </w:t>
            </w:r>
          </w:p>
          <w:p w14:paraId="557F3292" w14:textId="6B4C285E" w:rsidR="002C2EFC" w:rsidRPr="00E63957" w:rsidRDefault="001879EF" w:rsidP="003169F7">
            <w:pPr>
              <w:pStyle w:val="ListParagraph"/>
              <w:numPr>
                <w:ilvl w:val="0"/>
                <w:numId w:val="24"/>
              </w:numPr>
              <w:spacing w:after="120"/>
            </w:pPr>
            <w:r w:rsidRPr="00E63957">
              <w:rPr>
                <w:rFonts w:cs="AECOM Sans"/>
                <w:color w:val="000000"/>
              </w:rPr>
              <w:t>The Climate Change Act 2008</w:t>
            </w:r>
            <w:r w:rsidR="005C2A83" w:rsidRPr="00E63957">
              <w:rPr>
                <w:rFonts w:cs="AECOM Sans"/>
                <w:color w:val="000000"/>
              </w:rPr>
              <w:t>.</w:t>
            </w:r>
          </w:p>
        </w:tc>
      </w:tr>
      <w:tr w:rsidR="00EB6DE2" w:rsidRPr="00E63957" w14:paraId="63193DBF" w14:textId="77777777" w:rsidTr="002C2EFC">
        <w:tc>
          <w:tcPr>
            <w:tcW w:w="8448" w:type="dxa"/>
            <w:gridSpan w:val="2"/>
          </w:tcPr>
          <w:p w14:paraId="45F5004C" w14:textId="3E8AC525" w:rsidR="00EB6DE2" w:rsidRPr="00E63957" w:rsidRDefault="00EB6DE2" w:rsidP="003169F7">
            <w:pPr>
              <w:spacing w:after="120"/>
              <w:rPr>
                <w:b/>
              </w:rPr>
            </w:pPr>
            <w:r w:rsidRPr="00E63957">
              <w:rPr>
                <w:b/>
              </w:rPr>
              <w:t>Characteristics of the effects and of the area likely to be affected</w:t>
            </w:r>
          </w:p>
        </w:tc>
      </w:tr>
      <w:tr w:rsidR="00EB6DE2" w:rsidRPr="001879EF" w14:paraId="3FCAF3CD" w14:textId="77777777" w:rsidTr="001A0E61">
        <w:tc>
          <w:tcPr>
            <w:tcW w:w="2971" w:type="dxa"/>
          </w:tcPr>
          <w:p w14:paraId="4D7927F6" w14:textId="057026B9" w:rsidR="00EB6DE2" w:rsidRPr="001879EF" w:rsidRDefault="00EB6DE2" w:rsidP="003169F7">
            <w:pPr>
              <w:spacing w:after="120"/>
            </w:pPr>
            <w:r w:rsidRPr="001879EF">
              <w:t>a) The probability, duration, frequency and reversibility of the effects.</w:t>
            </w:r>
          </w:p>
        </w:tc>
        <w:tc>
          <w:tcPr>
            <w:tcW w:w="5477" w:type="dxa"/>
          </w:tcPr>
          <w:p w14:paraId="3BFEFA09" w14:textId="5F446DFB" w:rsidR="002C2EFC" w:rsidRPr="001879EF" w:rsidRDefault="001418E4" w:rsidP="003169F7">
            <w:pPr>
              <w:spacing w:after="120"/>
            </w:pPr>
            <w:r w:rsidRPr="001879EF">
              <w:t>The Sustainable Construction SPD provide</w:t>
            </w:r>
            <w:r>
              <w:t>s</w:t>
            </w:r>
            <w:r w:rsidRPr="001879EF">
              <w:t xml:space="preserve"> more detail on the policies and principles contained in the Adopted </w:t>
            </w:r>
            <w:r>
              <w:t xml:space="preserve">South Downs </w:t>
            </w:r>
            <w:r w:rsidRPr="001879EF">
              <w:t>Loc</w:t>
            </w:r>
            <w:r>
              <w:t>al Plan.  It applies</w:t>
            </w:r>
            <w:r w:rsidR="005C2A83">
              <w:t xml:space="preserve"> to most developments across the entire National Park and</w:t>
            </w:r>
            <w:r>
              <w:t xml:space="preserve"> in combination</w:t>
            </w:r>
            <w:r w:rsidR="005C2A83">
              <w:t xml:space="preserve"> </w:t>
            </w:r>
            <w:r>
              <w:t xml:space="preserve">with the Local Plan </w:t>
            </w:r>
            <w:r w:rsidR="005C2A83">
              <w:t xml:space="preserve">should result in </w:t>
            </w:r>
            <w:r>
              <w:t>multiple</w:t>
            </w:r>
            <w:r w:rsidR="005C2A83">
              <w:t xml:space="preserve"> small, positive, potentially permanent environment</w:t>
            </w:r>
            <w:r w:rsidR="00E63957">
              <w:t>al, social and economic effects.</w:t>
            </w:r>
            <w:r w:rsidR="005C2A83">
              <w:t xml:space="preserve">  </w:t>
            </w:r>
            <w:r>
              <w:t xml:space="preserve">The Local Plan was the subject of a SA/SEA. </w:t>
            </w:r>
          </w:p>
        </w:tc>
      </w:tr>
      <w:tr w:rsidR="00EB6DE2" w:rsidRPr="001879EF" w14:paraId="3D59D64F" w14:textId="77777777" w:rsidTr="001A0E61">
        <w:tc>
          <w:tcPr>
            <w:tcW w:w="2971" w:type="dxa"/>
          </w:tcPr>
          <w:p w14:paraId="67F7D2B7" w14:textId="7DCC296C" w:rsidR="00EB6DE2" w:rsidRPr="001879EF" w:rsidRDefault="00EB6DE2" w:rsidP="003169F7">
            <w:pPr>
              <w:spacing w:after="120"/>
            </w:pPr>
            <w:r w:rsidRPr="001879EF">
              <w:lastRenderedPageBreak/>
              <w:t>b) The cumulative nature of the effects</w:t>
            </w:r>
          </w:p>
        </w:tc>
        <w:tc>
          <w:tcPr>
            <w:tcW w:w="5477" w:type="dxa"/>
          </w:tcPr>
          <w:p w14:paraId="295BAF1E" w14:textId="2869D9A4" w:rsidR="002C2EFC" w:rsidRPr="001879EF" w:rsidRDefault="005C2A83" w:rsidP="003169F7">
            <w:pPr>
              <w:spacing w:after="120"/>
            </w:pPr>
            <w:r w:rsidRPr="001879EF">
              <w:rPr>
                <w:rFonts w:cs="ArialMT"/>
              </w:rPr>
              <w:t>The SPD</w:t>
            </w:r>
            <w:r>
              <w:rPr>
                <w:rFonts w:cs="ArialMT"/>
              </w:rPr>
              <w:t xml:space="preserve"> will have a range of beneficial environmental, social and economic </w:t>
            </w:r>
            <w:r w:rsidR="002A4706">
              <w:rPr>
                <w:rFonts w:cs="ArialMT"/>
              </w:rPr>
              <w:t>impacts</w:t>
            </w:r>
            <w:r>
              <w:rPr>
                <w:rFonts w:cs="ArialMT"/>
              </w:rPr>
              <w:t xml:space="preserve"> which will result in positive </w:t>
            </w:r>
            <w:r w:rsidRPr="001879EF">
              <w:rPr>
                <w:rFonts w:cs="ArialMT"/>
              </w:rPr>
              <w:t>cumulative</w:t>
            </w:r>
            <w:r>
              <w:rPr>
                <w:rFonts w:cs="ArialMT"/>
              </w:rPr>
              <w:t xml:space="preserve"> effects</w:t>
            </w:r>
            <w:r w:rsidR="002A4706">
              <w:rPr>
                <w:rFonts w:cs="ArialMT"/>
              </w:rPr>
              <w:t xml:space="preserve"> when sitting </w:t>
            </w:r>
            <w:r w:rsidR="002A4706">
              <w:t xml:space="preserve">alongside the Local Plan, </w:t>
            </w:r>
            <w:r w:rsidR="00171C6A" w:rsidRPr="001879EF">
              <w:t xml:space="preserve">national </w:t>
            </w:r>
            <w:r w:rsidR="002A4706">
              <w:t xml:space="preserve">and European legislation.  </w:t>
            </w:r>
            <w:r w:rsidR="002A4706" w:rsidRPr="002A4706">
              <w:t>The c</w:t>
            </w:r>
            <w:r w:rsidR="00C15657" w:rsidRPr="002A4706">
              <w:t xml:space="preserve">umulative effects </w:t>
            </w:r>
            <w:r w:rsidR="002A4706" w:rsidRPr="002A4706">
              <w:t xml:space="preserve">of the Local Plan policies are addressed in the </w:t>
            </w:r>
            <w:r w:rsidR="001418E4">
              <w:t xml:space="preserve">accompanying </w:t>
            </w:r>
            <w:r w:rsidR="002A4706" w:rsidRPr="002A4706">
              <w:t>SA/SEA.</w:t>
            </w:r>
          </w:p>
        </w:tc>
      </w:tr>
      <w:tr w:rsidR="00EB6DE2" w:rsidRPr="001879EF" w14:paraId="429FE44D" w14:textId="77777777" w:rsidTr="001A0E61">
        <w:tc>
          <w:tcPr>
            <w:tcW w:w="2971" w:type="dxa"/>
          </w:tcPr>
          <w:p w14:paraId="3A7F6852" w14:textId="2010C10F" w:rsidR="00EB6DE2" w:rsidRPr="001879EF" w:rsidRDefault="00EB6DE2" w:rsidP="003169F7">
            <w:pPr>
              <w:spacing w:after="120"/>
            </w:pPr>
            <w:r w:rsidRPr="001879EF">
              <w:t>c) The transboundary nature of the effects</w:t>
            </w:r>
          </w:p>
        </w:tc>
        <w:tc>
          <w:tcPr>
            <w:tcW w:w="5477" w:type="dxa"/>
          </w:tcPr>
          <w:p w14:paraId="44D1E08A" w14:textId="6C68DA48" w:rsidR="002C2EFC" w:rsidRPr="002A4706" w:rsidRDefault="002A4706" w:rsidP="003169F7">
            <w:pPr>
              <w:spacing w:after="120"/>
            </w:pPr>
            <w:r w:rsidRPr="001879EF">
              <w:rPr>
                <w:rFonts w:cs="ArialMT"/>
              </w:rPr>
              <w:t>The direct effects of this SPD are limited to</w:t>
            </w:r>
            <w:r>
              <w:rPr>
                <w:rFonts w:cs="ArialMT"/>
              </w:rPr>
              <w:t xml:space="preserve"> </w:t>
            </w:r>
            <w:r w:rsidRPr="001879EF">
              <w:rPr>
                <w:rFonts w:cs="ArialMT"/>
              </w:rPr>
              <w:t xml:space="preserve">developments within </w:t>
            </w:r>
            <w:r>
              <w:rPr>
                <w:rFonts w:cs="ArialMT"/>
              </w:rPr>
              <w:t>the South Downs National Park.  However the nature of climate change</w:t>
            </w:r>
            <w:r w:rsidRPr="001879EF">
              <w:t xml:space="preserve"> means that there are inherently transboundary </w:t>
            </w:r>
            <w:r>
              <w:t>issues and consequences</w:t>
            </w:r>
            <w:r w:rsidRPr="001879EF">
              <w:t xml:space="preserve">.  </w:t>
            </w:r>
            <w:r w:rsidR="00171C6A" w:rsidRPr="001879EF">
              <w:t xml:space="preserve">The transboundary effects </w:t>
            </w:r>
            <w:r>
              <w:t xml:space="preserve">of this SPD </w:t>
            </w:r>
            <w:r w:rsidR="00171C6A" w:rsidRPr="001879EF">
              <w:t xml:space="preserve">are limited, but when combined with plans and strategies across </w:t>
            </w:r>
            <w:r w:rsidRPr="001879EF">
              <w:t>adjoining</w:t>
            </w:r>
            <w:r>
              <w:t xml:space="preserve"> Authorities this</w:t>
            </w:r>
            <w:r w:rsidR="00E11887" w:rsidRPr="001879EF">
              <w:t xml:space="preserve"> </w:t>
            </w:r>
            <w:r w:rsidR="001418E4">
              <w:t>may</w:t>
            </w:r>
            <w:r w:rsidR="00171C6A" w:rsidRPr="001879EF">
              <w:t xml:space="preserve"> lead to more significant positive environmental impacts over the medium to long term. </w:t>
            </w:r>
            <w:r w:rsidR="00E11887" w:rsidRPr="001879EF">
              <w:t xml:space="preserve"> </w:t>
            </w:r>
          </w:p>
        </w:tc>
      </w:tr>
      <w:tr w:rsidR="00EB6DE2" w:rsidRPr="001879EF" w14:paraId="4D26F187" w14:textId="77777777" w:rsidTr="001A0E61">
        <w:tc>
          <w:tcPr>
            <w:tcW w:w="2971" w:type="dxa"/>
          </w:tcPr>
          <w:p w14:paraId="0B063378" w14:textId="438AECEE" w:rsidR="00EB6DE2" w:rsidRPr="001879EF" w:rsidRDefault="00EB6DE2" w:rsidP="003169F7">
            <w:pPr>
              <w:spacing w:after="120"/>
            </w:pPr>
            <w:r w:rsidRPr="001879EF">
              <w:t>d) The risks to human health or the environment (for example, due to accidents)</w:t>
            </w:r>
          </w:p>
        </w:tc>
        <w:tc>
          <w:tcPr>
            <w:tcW w:w="5477" w:type="dxa"/>
          </w:tcPr>
          <w:p w14:paraId="07F13FBD" w14:textId="19744C0B" w:rsidR="002C2EFC" w:rsidRPr="001879EF" w:rsidRDefault="00E11887" w:rsidP="003169F7">
            <w:pPr>
              <w:spacing w:after="120"/>
            </w:pPr>
            <w:r w:rsidRPr="001879EF">
              <w:t>The SPD presents no direct risks to human health or the environment.</w:t>
            </w:r>
            <w:r w:rsidR="000D2FC2" w:rsidRPr="001879EF">
              <w:t xml:space="preserve">  </w:t>
            </w:r>
            <w:r w:rsidR="002A4706" w:rsidRPr="002A4706">
              <w:t>Rather,</w:t>
            </w:r>
            <w:r w:rsidR="000D2FC2" w:rsidRPr="002A4706">
              <w:t xml:space="preserve"> </w:t>
            </w:r>
            <w:r w:rsidR="002A4706" w:rsidRPr="002A4706">
              <w:t xml:space="preserve">the implementation of sustainable construction methods will lead to </w:t>
            </w:r>
            <w:r w:rsidR="000D2FC2" w:rsidRPr="002A4706">
              <w:t xml:space="preserve">improvements to human health and </w:t>
            </w:r>
            <w:r w:rsidR="002A4706" w:rsidRPr="002A4706">
              <w:t>the environment.</w:t>
            </w:r>
          </w:p>
        </w:tc>
      </w:tr>
      <w:tr w:rsidR="00EB6DE2" w:rsidRPr="001879EF" w14:paraId="7B4F37FE" w14:textId="77777777" w:rsidTr="001A0E61">
        <w:tc>
          <w:tcPr>
            <w:tcW w:w="2971" w:type="dxa"/>
          </w:tcPr>
          <w:p w14:paraId="6A0CA6E6" w14:textId="52987D4A" w:rsidR="00EB6DE2" w:rsidRPr="001879EF" w:rsidRDefault="00EB6DE2" w:rsidP="003169F7">
            <w:pPr>
              <w:spacing w:after="120"/>
            </w:pPr>
            <w:r w:rsidRPr="001879EF">
              <w:t>e) The magnitude and spatial extent of the effects (geographical area and size of the population likely to be affected)</w:t>
            </w:r>
          </w:p>
        </w:tc>
        <w:tc>
          <w:tcPr>
            <w:tcW w:w="5477" w:type="dxa"/>
          </w:tcPr>
          <w:p w14:paraId="026BC41D" w14:textId="537A51D2" w:rsidR="002C2EFC" w:rsidRPr="001879EF" w:rsidRDefault="00E11887" w:rsidP="003169F7">
            <w:pPr>
              <w:spacing w:after="120"/>
            </w:pPr>
            <w:r w:rsidRPr="001879EF">
              <w:t>The SPD will cover the whole of the South Downs National Park area</w:t>
            </w:r>
            <w:r w:rsidR="002A4706">
              <w:t xml:space="preserve"> with a population of around 11</w:t>
            </w:r>
            <w:r w:rsidR="003D5F1D">
              <w:t>7</w:t>
            </w:r>
            <w:r w:rsidR="002A4706">
              <w:t xml:space="preserve">,000 people.  </w:t>
            </w:r>
          </w:p>
        </w:tc>
      </w:tr>
      <w:tr w:rsidR="00EB6DE2" w:rsidRPr="001879EF" w14:paraId="31C1C643" w14:textId="77777777" w:rsidTr="001A0E61">
        <w:tc>
          <w:tcPr>
            <w:tcW w:w="2971" w:type="dxa"/>
          </w:tcPr>
          <w:p w14:paraId="4DF2623D" w14:textId="77777777" w:rsidR="00EB6DE2" w:rsidRPr="001879EF" w:rsidRDefault="00EB6DE2" w:rsidP="003169F7">
            <w:pPr>
              <w:spacing w:after="120"/>
            </w:pPr>
            <w:r w:rsidRPr="001879EF">
              <w:t>f) The value and vulnerability of the area likely to be affected due to:</w:t>
            </w:r>
          </w:p>
          <w:p w14:paraId="66AF90A7" w14:textId="77777777" w:rsidR="00EB6DE2" w:rsidRPr="001879EF" w:rsidRDefault="00EB6DE2" w:rsidP="003169F7">
            <w:pPr>
              <w:spacing w:after="120"/>
            </w:pPr>
            <w:proofErr w:type="spellStart"/>
            <w:r w:rsidRPr="001879EF">
              <w:t>i</w:t>
            </w:r>
            <w:proofErr w:type="spellEnd"/>
            <w:r w:rsidRPr="001879EF">
              <w:t>) Special natural characteristics or cultural heritage;</w:t>
            </w:r>
          </w:p>
          <w:p w14:paraId="2131EFEE" w14:textId="77777777" w:rsidR="00EB6DE2" w:rsidRPr="001879EF" w:rsidRDefault="00EB6DE2" w:rsidP="003169F7">
            <w:pPr>
              <w:spacing w:after="120"/>
            </w:pPr>
            <w:r w:rsidRPr="001879EF">
              <w:t>ii) Exceeding environmental quality standards or limit values;</w:t>
            </w:r>
          </w:p>
          <w:p w14:paraId="2923F29B" w14:textId="13CE3BBB" w:rsidR="00EB6DE2" w:rsidRPr="001879EF" w:rsidRDefault="00EB6DE2" w:rsidP="003169F7">
            <w:pPr>
              <w:spacing w:after="120"/>
            </w:pPr>
            <w:r w:rsidRPr="001879EF">
              <w:t>ii) Intensive land-use</w:t>
            </w:r>
          </w:p>
        </w:tc>
        <w:tc>
          <w:tcPr>
            <w:tcW w:w="5477" w:type="dxa"/>
          </w:tcPr>
          <w:p w14:paraId="4FE8FCBD" w14:textId="6135D09D" w:rsidR="00E11887" w:rsidRPr="002D2094" w:rsidRDefault="000D2FC2" w:rsidP="003169F7">
            <w:pPr>
              <w:spacing w:after="120"/>
            </w:pPr>
            <w:r w:rsidRPr="002D2094">
              <w:t>The South Downs National Park covers an area with a wi</w:t>
            </w:r>
            <w:r w:rsidR="003D5F1D" w:rsidRPr="002D2094">
              <w:t>de variety of characteristics.  It is a nationally designated landscape</w:t>
            </w:r>
            <w:r w:rsidR="001418E4">
              <w:t xml:space="preserve"> and in </w:t>
            </w:r>
            <w:r w:rsidR="003D5F1D" w:rsidRPr="002D2094">
              <w:t>summary it:</w:t>
            </w:r>
          </w:p>
          <w:p w14:paraId="63CBEA70" w14:textId="3FEBA04D" w:rsidR="003D5F1D" w:rsidRPr="002D2094" w:rsidRDefault="001418E4" w:rsidP="003169F7">
            <w:pPr>
              <w:pStyle w:val="ListParagraph"/>
              <w:numPr>
                <w:ilvl w:val="0"/>
                <w:numId w:val="25"/>
              </w:numPr>
              <w:spacing w:after="120"/>
            </w:pPr>
            <w:r>
              <w:t>Measures over 1,600km</w:t>
            </w:r>
            <w:r w:rsidR="003D5F1D" w:rsidRPr="001418E4">
              <w:rPr>
                <w:vertAlign w:val="superscript"/>
              </w:rPr>
              <w:t>2</w:t>
            </w:r>
            <w:r w:rsidR="003D5F1D" w:rsidRPr="002D2094">
              <w:t xml:space="preserve"> of which over 70% is farmland, 15% is protected for wildlife.</w:t>
            </w:r>
          </w:p>
          <w:p w14:paraId="31D28511" w14:textId="3D7585F1" w:rsidR="003D5F1D" w:rsidRPr="002D2094" w:rsidRDefault="003D5F1D" w:rsidP="003169F7">
            <w:pPr>
              <w:pStyle w:val="ListParagraph"/>
              <w:numPr>
                <w:ilvl w:val="0"/>
                <w:numId w:val="25"/>
              </w:numPr>
              <w:spacing w:after="120"/>
            </w:pPr>
            <w:r w:rsidRPr="002D2094">
              <w:t>117,000 residents, 18.8 million visitors annually</w:t>
            </w:r>
          </w:p>
          <w:p w14:paraId="0700BDA8" w14:textId="484FE5C2" w:rsidR="003D5F1D" w:rsidRPr="002D2094" w:rsidRDefault="003D5F1D" w:rsidP="003169F7">
            <w:pPr>
              <w:pStyle w:val="ListParagraph"/>
              <w:numPr>
                <w:ilvl w:val="0"/>
                <w:numId w:val="25"/>
              </w:numPr>
              <w:spacing w:after="120"/>
            </w:pPr>
            <w:r w:rsidRPr="002D2094">
              <w:t>19 landscape types</w:t>
            </w:r>
          </w:p>
          <w:p w14:paraId="3C2E166C" w14:textId="1A8559DC" w:rsidR="003D5F1D" w:rsidRPr="002D2094" w:rsidRDefault="003D5F1D" w:rsidP="003169F7">
            <w:pPr>
              <w:pStyle w:val="ListParagraph"/>
              <w:numPr>
                <w:ilvl w:val="0"/>
                <w:numId w:val="25"/>
              </w:numPr>
              <w:spacing w:after="120"/>
            </w:pPr>
            <w:r w:rsidRPr="002D2094">
              <w:t>4 market towns</w:t>
            </w:r>
          </w:p>
          <w:p w14:paraId="08D51BFA" w14:textId="6FF53FE5" w:rsidR="003D5F1D" w:rsidRPr="002D2094" w:rsidRDefault="003D5F1D" w:rsidP="003169F7">
            <w:pPr>
              <w:pStyle w:val="ListParagraph"/>
              <w:numPr>
                <w:ilvl w:val="0"/>
                <w:numId w:val="25"/>
              </w:numPr>
              <w:spacing w:after="120"/>
            </w:pPr>
            <w:r w:rsidRPr="002D2094">
              <w:t>616 Scheduled monuments, 5,860 listed buildings and 166 conservation areas.</w:t>
            </w:r>
          </w:p>
          <w:p w14:paraId="6F390AF5" w14:textId="5950EB81" w:rsidR="003D5F1D" w:rsidRPr="002D2094" w:rsidRDefault="003D5F1D" w:rsidP="003169F7">
            <w:pPr>
              <w:pStyle w:val="ListParagraph"/>
              <w:numPr>
                <w:ilvl w:val="0"/>
                <w:numId w:val="25"/>
              </w:numPr>
              <w:spacing w:after="120"/>
            </w:pPr>
            <w:r w:rsidRPr="002D2094">
              <w:t>17.5km of coastline</w:t>
            </w:r>
          </w:p>
          <w:p w14:paraId="38A03A5A" w14:textId="682F0E74" w:rsidR="002D2094" w:rsidRPr="002D2094" w:rsidRDefault="002D2094" w:rsidP="003169F7">
            <w:pPr>
              <w:spacing w:after="120"/>
            </w:pPr>
            <w:r>
              <w:t>Key e</w:t>
            </w:r>
            <w:r w:rsidRPr="002D2094">
              <w:t>nvironmental issues include:</w:t>
            </w:r>
          </w:p>
          <w:p w14:paraId="3C444D35" w14:textId="25FA32E2" w:rsidR="002D2094" w:rsidRDefault="002D2094" w:rsidP="003169F7">
            <w:pPr>
              <w:pStyle w:val="ListParagraph"/>
              <w:numPr>
                <w:ilvl w:val="0"/>
                <w:numId w:val="26"/>
              </w:numPr>
              <w:spacing w:after="120"/>
            </w:pPr>
            <w:r w:rsidRPr="002D2094">
              <w:t>Habitat decline in both extent and quality</w:t>
            </w:r>
          </w:p>
          <w:p w14:paraId="0A7EDFFF" w14:textId="31AC8F62" w:rsidR="002D2094" w:rsidRDefault="002D2094" w:rsidP="003169F7">
            <w:pPr>
              <w:pStyle w:val="ListParagraph"/>
              <w:numPr>
                <w:ilvl w:val="0"/>
                <w:numId w:val="26"/>
              </w:numPr>
              <w:spacing w:after="120"/>
            </w:pPr>
            <w:r>
              <w:t>Species decline, particularly farmland</w:t>
            </w:r>
          </w:p>
          <w:p w14:paraId="440575EC" w14:textId="21870C6A" w:rsidR="002D2094" w:rsidRDefault="002D2094" w:rsidP="003169F7">
            <w:pPr>
              <w:pStyle w:val="ListParagraph"/>
              <w:numPr>
                <w:ilvl w:val="0"/>
                <w:numId w:val="26"/>
              </w:numPr>
              <w:spacing w:after="120"/>
            </w:pPr>
            <w:r>
              <w:t>Impact of climate change on the historic environment.</w:t>
            </w:r>
          </w:p>
          <w:p w14:paraId="54F4144D" w14:textId="6CA3D5BF" w:rsidR="002D2094" w:rsidRDefault="002D2094" w:rsidP="003169F7">
            <w:pPr>
              <w:pStyle w:val="ListParagraph"/>
              <w:numPr>
                <w:ilvl w:val="0"/>
                <w:numId w:val="26"/>
              </w:numPr>
              <w:spacing w:after="120"/>
            </w:pPr>
            <w:r>
              <w:t>Climate change</w:t>
            </w:r>
          </w:p>
          <w:p w14:paraId="644BFC51" w14:textId="7FD3FA86" w:rsidR="002D2094" w:rsidRPr="002D2094" w:rsidRDefault="002D2094" w:rsidP="003169F7">
            <w:pPr>
              <w:pStyle w:val="ListParagraph"/>
              <w:numPr>
                <w:ilvl w:val="0"/>
                <w:numId w:val="26"/>
              </w:numPr>
              <w:spacing w:after="120"/>
            </w:pPr>
            <w:r>
              <w:t>Water extraction</w:t>
            </w:r>
          </w:p>
          <w:p w14:paraId="631EDAEE" w14:textId="6D6C466E" w:rsidR="002D2094" w:rsidRPr="002D2094" w:rsidRDefault="002D2094" w:rsidP="003169F7">
            <w:pPr>
              <w:pStyle w:val="ListParagraph"/>
              <w:numPr>
                <w:ilvl w:val="0"/>
                <w:numId w:val="26"/>
              </w:numPr>
              <w:spacing w:after="120"/>
            </w:pPr>
            <w:r w:rsidRPr="002D2094">
              <w:t xml:space="preserve">There are two Air </w:t>
            </w:r>
            <w:r>
              <w:t>Q</w:t>
            </w:r>
            <w:r w:rsidRPr="002D2094">
              <w:t xml:space="preserve">uality Management Zones within the National Park.  </w:t>
            </w:r>
          </w:p>
        </w:tc>
      </w:tr>
      <w:tr w:rsidR="00EB6DE2" w:rsidRPr="001879EF" w14:paraId="0BD525B9" w14:textId="77777777" w:rsidTr="001A0E61">
        <w:tc>
          <w:tcPr>
            <w:tcW w:w="2971" w:type="dxa"/>
          </w:tcPr>
          <w:p w14:paraId="402CCD7C" w14:textId="524BAB4D" w:rsidR="00EB6DE2" w:rsidRPr="001879EF" w:rsidRDefault="00EB6DE2" w:rsidP="003169F7">
            <w:pPr>
              <w:spacing w:after="120"/>
            </w:pPr>
            <w:r w:rsidRPr="001879EF">
              <w:t>g) The effects on areas or landscapes which have recognised national, community or international protection status.</w:t>
            </w:r>
          </w:p>
        </w:tc>
        <w:tc>
          <w:tcPr>
            <w:tcW w:w="5477" w:type="dxa"/>
          </w:tcPr>
          <w:p w14:paraId="11D3F7C6" w14:textId="2524B88F" w:rsidR="00EB6DE2" w:rsidRPr="001879EF" w:rsidRDefault="00E11887" w:rsidP="003169F7">
            <w:pPr>
              <w:spacing w:after="120"/>
            </w:pPr>
            <w:r w:rsidRPr="001879EF">
              <w:t xml:space="preserve">The SPD will cover the whole of the South Downs National Park which has been designated for it </w:t>
            </w:r>
            <w:r w:rsidR="00B251FE" w:rsidRPr="001879EF">
              <w:t xml:space="preserve">special landscape, wildlife and cultural value.  The SPD should provide positive effects by promoting </w:t>
            </w:r>
            <w:r w:rsidR="00BD7D39" w:rsidRPr="001879EF">
              <w:t>sustainable construction and conserving and enhancing green and blue infrastructure throughout</w:t>
            </w:r>
            <w:r w:rsidR="002D2094">
              <w:t xml:space="preserve"> the National Park.</w:t>
            </w:r>
          </w:p>
        </w:tc>
      </w:tr>
    </w:tbl>
    <w:p w14:paraId="5857811E" w14:textId="77777777" w:rsidR="001418E4" w:rsidRDefault="001418E4" w:rsidP="003169F7">
      <w:pPr>
        <w:spacing w:after="120" w:line="300" w:lineRule="atLeast"/>
        <w:jc w:val="both"/>
        <w:rPr>
          <w:b/>
        </w:rPr>
      </w:pPr>
    </w:p>
    <w:p w14:paraId="5D12469A" w14:textId="27F7612B" w:rsidR="00EF5526" w:rsidRPr="001418E4" w:rsidRDefault="000A2C65" w:rsidP="003169F7">
      <w:pPr>
        <w:spacing w:after="120" w:line="300" w:lineRule="atLeast"/>
        <w:jc w:val="both"/>
        <w:rPr>
          <w:b/>
        </w:rPr>
      </w:pPr>
      <w:r w:rsidRPr="001418E4">
        <w:rPr>
          <w:b/>
        </w:rPr>
        <w:t>SEA Conclusion</w:t>
      </w:r>
    </w:p>
    <w:p w14:paraId="79FFD5E4" w14:textId="7EA47425" w:rsidR="000D7DFB" w:rsidRDefault="000A2C65" w:rsidP="00827BBA">
      <w:pPr>
        <w:pStyle w:val="ListParagraph"/>
        <w:numPr>
          <w:ilvl w:val="1"/>
          <w:numId w:val="3"/>
        </w:numPr>
        <w:spacing w:after="120" w:line="300" w:lineRule="atLeast"/>
        <w:jc w:val="both"/>
      </w:pPr>
      <w:r w:rsidRPr="000A2C65">
        <w:t xml:space="preserve">Having regard to the considerations above, the </w:t>
      </w:r>
      <w:r>
        <w:t>Authority</w:t>
      </w:r>
      <w:r w:rsidRPr="000A2C65">
        <w:t xml:space="preserve"> </w:t>
      </w:r>
      <w:r w:rsidR="00827BBA">
        <w:t>concludes</w:t>
      </w:r>
      <w:r w:rsidRPr="000A2C65">
        <w:t xml:space="preserve"> that the </w:t>
      </w:r>
      <w:r w:rsidR="000A23ED">
        <w:t>Sustainable Construction SPD</w:t>
      </w:r>
      <w:r w:rsidRPr="000A2C65">
        <w:t xml:space="preserve"> is unlikely to have any significant environmental effects and therefore does not </w:t>
      </w:r>
      <w:r w:rsidRPr="000D7DFB">
        <w:t>require a Strategic Environmental Assessment.</w:t>
      </w:r>
      <w:r w:rsidR="00BD7D39">
        <w:t xml:space="preserve">  </w:t>
      </w:r>
      <w:r w:rsidR="001418E4">
        <w:t xml:space="preserve">The SPD does not present new policies but seeks to clarify the Authority’s approach to implementing the SDLP sustainable construction policies.  </w:t>
      </w:r>
      <w:r w:rsidR="00BD7D39">
        <w:t xml:space="preserve">Where environmental effects are identified they will be positive.  </w:t>
      </w:r>
    </w:p>
    <w:p w14:paraId="0608A934" w14:textId="77777777" w:rsidR="00827BBA" w:rsidRDefault="00827BBA" w:rsidP="00827BBA">
      <w:pPr>
        <w:pStyle w:val="ListParagraph"/>
        <w:spacing w:after="120" w:line="300" w:lineRule="atLeast"/>
        <w:ind w:left="567"/>
        <w:jc w:val="both"/>
      </w:pPr>
    </w:p>
    <w:p w14:paraId="2B5A507E" w14:textId="3D32965A" w:rsidR="00EB6DE2" w:rsidRPr="000D7DFB" w:rsidRDefault="000A2C65" w:rsidP="00827BBA">
      <w:pPr>
        <w:pStyle w:val="ListParagraph"/>
        <w:numPr>
          <w:ilvl w:val="1"/>
          <w:numId w:val="3"/>
        </w:numPr>
        <w:spacing w:after="120" w:line="300" w:lineRule="atLeast"/>
        <w:jc w:val="both"/>
      </w:pPr>
      <w:r w:rsidRPr="000D7DFB">
        <w:t xml:space="preserve">This determination was made on </w:t>
      </w:r>
      <w:r w:rsidR="00BD7D39">
        <w:t>14</w:t>
      </w:r>
      <w:r w:rsidR="00BD7D39" w:rsidRPr="00BD7D39">
        <w:rPr>
          <w:vertAlign w:val="superscript"/>
        </w:rPr>
        <w:t>th</w:t>
      </w:r>
      <w:r w:rsidR="00BD7D39">
        <w:t xml:space="preserve"> January</w:t>
      </w:r>
      <w:r w:rsidR="000D7DFB" w:rsidRPr="000D7DFB">
        <w:t xml:space="preserve"> 20</w:t>
      </w:r>
      <w:r w:rsidR="00BD7D39">
        <w:t>20</w:t>
      </w:r>
      <w:r w:rsidR="000D7DFB" w:rsidRPr="000D7DFB">
        <w:t>.</w:t>
      </w:r>
    </w:p>
    <w:p w14:paraId="4A794EAF" w14:textId="4D22260D" w:rsidR="00EC580D" w:rsidRDefault="00EC580D" w:rsidP="003169F7">
      <w:pPr>
        <w:spacing w:after="120" w:line="300" w:lineRule="atLeast"/>
        <w:jc w:val="both"/>
      </w:pPr>
    </w:p>
    <w:p w14:paraId="154C14D7" w14:textId="77777777" w:rsidR="002C2EFC" w:rsidRDefault="002C2EFC" w:rsidP="003169F7">
      <w:pPr>
        <w:spacing w:after="120" w:line="300" w:lineRule="atLeast"/>
        <w:jc w:val="both"/>
        <w:sectPr w:rsidR="002C2EFC" w:rsidSect="00B35865">
          <w:pgSz w:w="11906" w:h="16838"/>
          <w:pgMar w:top="1440" w:right="1440" w:bottom="1440" w:left="1440" w:header="708" w:footer="708" w:gutter="0"/>
          <w:pgNumType w:start="1"/>
          <w:cols w:space="708"/>
          <w:titlePg/>
          <w:docGrid w:linePitch="360"/>
        </w:sectPr>
      </w:pPr>
    </w:p>
    <w:p w14:paraId="4D0A7FFF" w14:textId="77777777" w:rsidR="00CF388A" w:rsidRDefault="00CF388A" w:rsidP="003169F7">
      <w:pPr>
        <w:pStyle w:val="ListParagraph"/>
        <w:numPr>
          <w:ilvl w:val="0"/>
          <w:numId w:val="3"/>
        </w:numPr>
        <w:pBdr>
          <w:bottom w:val="single" w:sz="24" w:space="1" w:color="756E1B"/>
        </w:pBdr>
        <w:spacing w:after="120" w:line="300" w:lineRule="atLeast"/>
        <w:ind w:left="567" w:hanging="567"/>
        <w:contextualSpacing w:val="0"/>
        <w:rPr>
          <w:caps/>
          <w:color w:val="756E1B"/>
          <w:sz w:val="48"/>
          <w:szCs w:val="48"/>
        </w:rPr>
      </w:pPr>
      <w:r w:rsidRPr="00CF388A">
        <w:rPr>
          <w:caps/>
          <w:color w:val="756E1B"/>
          <w:sz w:val="48"/>
          <w:szCs w:val="48"/>
        </w:rPr>
        <w:lastRenderedPageBreak/>
        <w:t xml:space="preserve">Habitats Regulations Assessment </w:t>
      </w:r>
    </w:p>
    <w:p w14:paraId="021234D7" w14:textId="023ED638" w:rsidR="00CF388A" w:rsidRDefault="00CF388A" w:rsidP="003169F7">
      <w:pPr>
        <w:pBdr>
          <w:bottom w:val="single" w:sz="24" w:space="1" w:color="756E1B"/>
        </w:pBdr>
        <w:spacing w:after="120" w:line="300" w:lineRule="atLeast"/>
        <w:rPr>
          <w:caps/>
          <w:color w:val="756E1B"/>
          <w:sz w:val="48"/>
          <w:szCs w:val="48"/>
        </w:rPr>
      </w:pPr>
      <w:r w:rsidRPr="00CF388A">
        <w:rPr>
          <w:caps/>
          <w:color w:val="756E1B"/>
          <w:sz w:val="48"/>
          <w:szCs w:val="48"/>
        </w:rPr>
        <w:t>Screening Statement</w:t>
      </w:r>
    </w:p>
    <w:p w14:paraId="3FACE6AE" w14:textId="671A6DDD" w:rsidR="00CF388A" w:rsidRDefault="00CF388A" w:rsidP="003169F7">
      <w:pPr>
        <w:tabs>
          <w:tab w:val="left" w:pos="1308"/>
        </w:tabs>
        <w:spacing w:after="120"/>
        <w:rPr>
          <w:sz w:val="48"/>
          <w:szCs w:val="48"/>
        </w:rPr>
      </w:pPr>
      <w:r>
        <w:rPr>
          <w:sz w:val="48"/>
          <w:szCs w:val="48"/>
        </w:rPr>
        <w:tab/>
      </w:r>
    </w:p>
    <w:p w14:paraId="7BF5A128" w14:textId="02BE0955" w:rsidR="00CF388A" w:rsidRDefault="00CF388A" w:rsidP="00827BBA">
      <w:pPr>
        <w:pStyle w:val="ListParagraph"/>
        <w:numPr>
          <w:ilvl w:val="1"/>
          <w:numId w:val="3"/>
        </w:numPr>
        <w:spacing w:after="120" w:line="300" w:lineRule="atLeast"/>
        <w:jc w:val="both"/>
      </w:pPr>
      <w:r w:rsidRPr="00CF388A">
        <w:t xml:space="preserve">This part of the report seeks to determine whether the </w:t>
      </w:r>
      <w:r>
        <w:t>Authority</w:t>
      </w:r>
      <w:r w:rsidRPr="00CF388A">
        <w:t xml:space="preserve">’s policies and proposals set out in the </w:t>
      </w:r>
      <w:r w:rsidR="000A23ED">
        <w:t>Sustainable Construction SPD</w:t>
      </w:r>
      <w:r w:rsidRPr="00CF388A">
        <w:t xml:space="preserve"> will have any significant impacts on Natura 2000 sites.</w:t>
      </w:r>
    </w:p>
    <w:p w14:paraId="4F78BF9F" w14:textId="77777777" w:rsidR="00827BBA" w:rsidRDefault="00827BBA" w:rsidP="00827BBA">
      <w:pPr>
        <w:pStyle w:val="ListParagraph"/>
        <w:spacing w:after="120" w:line="300" w:lineRule="atLeast"/>
        <w:ind w:left="567"/>
        <w:jc w:val="both"/>
      </w:pPr>
    </w:p>
    <w:p w14:paraId="0F3AC994" w14:textId="2DFE5814" w:rsidR="00827BBA" w:rsidRDefault="00F072BB" w:rsidP="00827BBA">
      <w:pPr>
        <w:pStyle w:val="ListParagraph"/>
        <w:numPr>
          <w:ilvl w:val="1"/>
          <w:numId w:val="3"/>
        </w:numPr>
        <w:spacing w:after="120" w:line="300" w:lineRule="atLeast"/>
        <w:jc w:val="both"/>
      </w:pPr>
      <w:r>
        <w:t xml:space="preserve">This SPD will support policies </w:t>
      </w:r>
      <w:r w:rsidR="001418E4" w:rsidRPr="001879EF">
        <w:t xml:space="preserve">SD2 Ecosystem Services; SD48: Climate Change and Sustainable Use of Resources; the element of SD22: </w:t>
      </w:r>
      <w:r w:rsidR="001418E4" w:rsidRPr="001879EF">
        <w:rPr>
          <w:noProof/>
        </w:rPr>
        <w:t>Parking Provision, as it relates to electric vehicle charging;</w:t>
      </w:r>
      <w:r w:rsidR="001418E4" w:rsidRPr="001879EF">
        <w:t xml:space="preserve"> and SD3 Major Development.</w:t>
      </w:r>
      <w:r>
        <w:t xml:space="preserve">  The S</w:t>
      </w:r>
      <w:r w:rsidR="001418E4">
        <w:t xml:space="preserve">outh </w:t>
      </w:r>
      <w:r>
        <w:t>D</w:t>
      </w:r>
      <w:r w:rsidR="001418E4">
        <w:t xml:space="preserve">owns </w:t>
      </w:r>
      <w:r>
        <w:t>L</w:t>
      </w:r>
      <w:r w:rsidR="001418E4">
        <w:t xml:space="preserve">ocal </w:t>
      </w:r>
      <w:r>
        <w:t>P</w:t>
      </w:r>
      <w:r w:rsidR="001418E4">
        <w:t>lan</w:t>
      </w:r>
      <w:r>
        <w:t xml:space="preserve"> was subject to a Habitats Regulation Assessment which was prepared in consultation with Natural England.  The purpose of HRA is to assess the impacts of plans and/or projects against the conservation objectives of a European protected site.  The assessment must determine whether the plan and/ or project would adversely affect the integrity of the site in terms of its conservation objectives.  Where adverse effects are identified these effects should be avoided or mitigated.</w:t>
      </w:r>
    </w:p>
    <w:p w14:paraId="1185D2AE" w14:textId="0522AA50" w:rsidR="00827BBA" w:rsidRDefault="00827BBA" w:rsidP="00827BBA">
      <w:pPr>
        <w:spacing w:after="120" w:line="300" w:lineRule="atLeast"/>
        <w:jc w:val="both"/>
      </w:pPr>
    </w:p>
    <w:p w14:paraId="7A9B0169" w14:textId="1880BD50" w:rsidR="00F072BB" w:rsidRDefault="00F072BB" w:rsidP="00827BBA">
      <w:pPr>
        <w:pStyle w:val="ListParagraph"/>
        <w:numPr>
          <w:ilvl w:val="1"/>
          <w:numId w:val="3"/>
        </w:numPr>
        <w:spacing w:after="120" w:line="300" w:lineRule="atLeast"/>
        <w:jc w:val="both"/>
      </w:pPr>
      <w:r>
        <w:t>The Appropriate Assessment stage of HRA is only required should the preliminary screening assessment not be able to rule out likely significant effect</w:t>
      </w:r>
      <w:r w:rsidR="006D2CAB">
        <w:t>s</w:t>
      </w:r>
      <w:r>
        <w:t>.</w:t>
      </w:r>
    </w:p>
    <w:p w14:paraId="09BFD29E" w14:textId="77777777" w:rsidR="00827BBA" w:rsidRDefault="00827BBA" w:rsidP="00827BBA">
      <w:pPr>
        <w:pStyle w:val="ListParagraph"/>
      </w:pPr>
    </w:p>
    <w:p w14:paraId="1DEB6228" w14:textId="77777777" w:rsidR="00827BBA" w:rsidRDefault="00827BBA" w:rsidP="00827BBA">
      <w:pPr>
        <w:pStyle w:val="ListParagraph"/>
        <w:spacing w:after="120" w:line="300" w:lineRule="atLeast"/>
        <w:ind w:left="567"/>
        <w:jc w:val="both"/>
      </w:pPr>
    </w:p>
    <w:p w14:paraId="0B9BF645" w14:textId="73A0FBC6" w:rsidR="00F072BB" w:rsidRDefault="00F072BB" w:rsidP="00827BBA">
      <w:pPr>
        <w:pStyle w:val="ListParagraph"/>
        <w:numPr>
          <w:ilvl w:val="1"/>
          <w:numId w:val="3"/>
        </w:numPr>
        <w:spacing w:after="120" w:line="300" w:lineRule="atLeast"/>
        <w:jc w:val="both"/>
      </w:pPr>
      <w:r>
        <w:t>The Directive states that any plan or project not connected to</w:t>
      </w:r>
      <w:r w:rsidR="001418E4">
        <w:t>,</w:t>
      </w:r>
      <w:r>
        <w:t xml:space="preserve"> or necessary for a sites management, but likely to have significant effect thereon shall be subject to appropriate assessment.  There are 4 distinct stages in HRA namely:</w:t>
      </w:r>
    </w:p>
    <w:p w14:paraId="3578FE93" w14:textId="30FB846E" w:rsidR="00252198" w:rsidRDefault="00F072BB" w:rsidP="00827BBA">
      <w:pPr>
        <w:pStyle w:val="ListParagraph"/>
        <w:spacing w:after="120" w:line="300" w:lineRule="atLeast"/>
        <w:ind w:left="1359"/>
        <w:contextualSpacing w:val="0"/>
        <w:jc w:val="both"/>
      </w:pPr>
      <w:r w:rsidRPr="00827BBA">
        <w:rPr>
          <w:u w:val="single"/>
        </w:rPr>
        <w:t>Step 1: Screening</w:t>
      </w:r>
      <w:r>
        <w:t xml:space="preserve"> -    </w:t>
      </w:r>
      <w:r w:rsidRPr="00F072BB">
        <w:t xml:space="preserve">Identification of likely impacts on a European site either alone or in combination with other plans/projects and consideration of whether these are significant. </w:t>
      </w:r>
    </w:p>
    <w:p w14:paraId="280D2346" w14:textId="253749C3" w:rsidR="00252198" w:rsidRDefault="00252198" w:rsidP="00827BBA">
      <w:pPr>
        <w:pStyle w:val="ListParagraph"/>
        <w:spacing w:after="120" w:line="300" w:lineRule="atLeast"/>
        <w:ind w:left="1359"/>
        <w:contextualSpacing w:val="0"/>
        <w:jc w:val="both"/>
      </w:pPr>
      <w:r w:rsidRPr="00827BBA">
        <w:rPr>
          <w:u w:val="single"/>
        </w:rPr>
        <w:t>Step 2: Appropriate Assessment</w:t>
      </w:r>
      <w:r>
        <w:t xml:space="preserve"> - </w:t>
      </w:r>
      <w:r w:rsidRPr="00252198">
        <w:t>consideration of the impact on the integrity of the European Site whether alone or in combination with other plans or projects with respect to the sites structure, function and conservation objectives. Where there are significant effects, step 2 should consider potential mitigation measures.</w:t>
      </w:r>
    </w:p>
    <w:p w14:paraId="55159714" w14:textId="7F07E713" w:rsidR="00252198" w:rsidRDefault="00252198" w:rsidP="00827BBA">
      <w:pPr>
        <w:pStyle w:val="ListParagraph"/>
        <w:spacing w:after="120" w:line="300" w:lineRule="atLeast"/>
        <w:ind w:left="1359"/>
        <w:contextualSpacing w:val="0"/>
        <w:jc w:val="both"/>
      </w:pPr>
      <w:r w:rsidRPr="00827BBA">
        <w:rPr>
          <w:u w:val="single"/>
        </w:rPr>
        <w:t>Step 3: Assessment of Alternative Solutions</w:t>
      </w:r>
      <w:r>
        <w:t xml:space="preserve"> - </w:t>
      </w:r>
      <w:r w:rsidRPr="00252198">
        <w:t>Assessing alternative ways of achieving the objectives of the plan/project which avoid impacts; and</w:t>
      </w:r>
    </w:p>
    <w:p w14:paraId="4586D90A" w14:textId="215210CD" w:rsidR="00252198" w:rsidRDefault="00252198" w:rsidP="00827BBA">
      <w:pPr>
        <w:pStyle w:val="ListParagraph"/>
        <w:spacing w:after="120" w:line="300" w:lineRule="atLeast"/>
        <w:ind w:left="1359"/>
        <w:contextualSpacing w:val="0"/>
        <w:jc w:val="both"/>
      </w:pPr>
      <w:r w:rsidRPr="00827BBA">
        <w:rPr>
          <w:u w:val="single"/>
        </w:rPr>
        <w:t>Step 4: Assessment of Compensatory Measures</w:t>
      </w:r>
      <w:r>
        <w:t xml:space="preserve"> - </w:t>
      </w:r>
      <w:r w:rsidRPr="00252198">
        <w:t>Identification of compensatory measures should impact not be avoided and no alternative solutions exist and an assessment of imperative reasons of overriding public interest (IROPI) deems that a project should proceed.</w:t>
      </w:r>
    </w:p>
    <w:p w14:paraId="645B3D5F" w14:textId="20B8E09A" w:rsidR="00252198" w:rsidRDefault="00827BBA" w:rsidP="00827BBA">
      <w:pPr>
        <w:pStyle w:val="ListParagraph"/>
        <w:numPr>
          <w:ilvl w:val="1"/>
          <w:numId w:val="3"/>
        </w:numPr>
        <w:spacing w:after="120" w:line="300" w:lineRule="atLeast"/>
        <w:jc w:val="both"/>
      </w:pPr>
      <w:r>
        <w:t>Should screening (S</w:t>
      </w:r>
      <w:r w:rsidR="00252198" w:rsidRPr="00252198">
        <w:t xml:space="preserve">tep 1) reveal that significant effects are likely or </w:t>
      </w:r>
      <w:r w:rsidR="00E152B1">
        <w:t xml:space="preserve">the </w:t>
      </w:r>
      <w:r w:rsidR="00252198" w:rsidRPr="00252198">
        <w:t>effect cannot be discounted because of uncertainty, the</w:t>
      </w:r>
      <w:r>
        <w:t>n it is necessary to move onto S</w:t>
      </w:r>
      <w:r w:rsidR="00252198" w:rsidRPr="00252198">
        <w:t>tep</w:t>
      </w:r>
      <w:r>
        <w:t xml:space="preserve"> 2: Appropriate Assessment. If S</w:t>
      </w:r>
      <w:r w:rsidR="00252198" w:rsidRPr="00252198">
        <w:t>tep 2 cannot rule out significant effect even with mitigatio</w:t>
      </w:r>
      <w:r>
        <w:t>n, then the process moves onto S</w:t>
      </w:r>
      <w:r w:rsidR="00252198" w:rsidRPr="00252198">
        <w:t xml:space="preserve">tep 3 </w:t>
      </w:r>
      <w:r>
        <w:t>and finally S</w:t>
      </w:r>
      <w:r w:rsidR="00252198" w:rsidRPr="00252198">
        <w:t>tep 4 if no alternative solutions arise.</w:t>
      </w:r>
    </w:p>
    <w:p w14:paraId="72484BC0" w14:textId="2A5463FF" w:rsidR="00252198" w:rsidRPr="00827BBA" w:rsidRDefault="00252198" w:rsidP="003169F7">
      <w:pPr>
        <w:spacing w:after="120" w:line="300" w:lineRule="atLeast"/>
        <w:jc w:val="both"/>
        <w:rPr>
          <w:b/>
        </w:rPr>
      </w:pPr>
      <w:r w:rsidRPr="00827BBA">
        <w:rPr>
          <w:b/>
        </w:rPr>
        <w:lastRenderedPageBreak/>
        <w:t>Step 1 - Screening</w:t>
      </w:r>
    </w:p>
    <w:p w14:paraId="79B6BB9C" w14:textId="2FA642A8" w:rsidR="00252198" w:rsidRDefault="00252198" w:rsidP="00827BBA">
      <w:pPr>
        <w:pStyle w:val="ListParagraph"/>
        <w:numPr>
          <w:ilvl w:val="1"/>
          <w:numId w:val="3"/>
        </w:numPr>
        <w:spacing w:after="120" w:line="300" w:lineRule="atLeast"/>
        <w:jc w:val="both"/>
      </w:pPr>
      <w:r>
        <w:t xml:space="preserve">There are four stages to consider in a screening exercise: </w:t>
      </w:r>
    </w:p>
    <w:p w14:paraId="18580033" w14:textId="77777777" w:rsidR="001D3802" w:rsidRDefault="001D3802" w:rsidP="001D3802">
      <w:pPr>
        <w:pStyle w:val="ListParagraph"/>
        <w:spacing w:after="120" w:line="300" w:lineRule="atLeast"/>
        <w:ind w:left="567"/>
        <w:jc w:val="both"/>
      </w:pPr>
    </w:p>
    <w:p w14:paraId="0DCE4297" w14:textId="1EB4B5CA" w:rsidR="00252198" w:rsidRPr="00252198" w:rsidRDefault="00252198" w:rsidP="003169F7">
      <w:pPr>
        <w:pStyle w:val="ListParagraph"/>
        <w:spacing w:after="120" w:line="300" w:lineRule="atLeast"/>
        <w:ind w:left="928"/>
        <w:jc w:val="both"/>
      </w:pPr>
      <w:r w:rsidRPr="00252198">
        <w:t>Stage 1: Determining whether the plan/project is directly connected with or necessary to the management of the site;</w:t>
      </w:r>
    </w:p>
    <w:p w14:paraId="3CDD4C4F" w14:textId="15AEBE35" w:rsidR="00252198" w:rsidRPr="00252198" w:rsidRDefault="00252198" w:rsidP="003169F7">
      <w:pPr>
        <w:pStyle w:val="ListParagraph"/>
        <w:spacing w:after="120" w:line="300" w:lineRule="atLeast"/>
        <w:ind w:left="928"/>
        <w:jc w:val="both"/>
      </w:pPr>
      <w:r w:rsidRPr="00252198">
        <w:t>Stage 2: Describing the plan/project and description of other plan/projects that have the potential for in-combination impacts;</w:t>
      </w:r>
    </w:p>
    <w:p w14:paraId="10C5480C" w14:textId="6BC3B717" w:rsidR="00252198" w:rsidRPr="00252198" w:rsidRDefault="00252198" w:rsidP="003169F7">
      <w:pPr>
        <w:pStyle w:val="ListParagraph"/>
        <w:spacing w:after="120" w:line="300" w:lineRule="atLeast"/>
        <w:ind w:left="928"/>
        <w:jc w:val="both"/>
      </w:pPr>
      <w:r w:rsidRPr="00252198">
        <w:t>Stage 3: Identifying potential effects on the European site(s); and</w:t>
      </w:r>
    </w:p>
    <w:p w14:paraId="608EFF75" w14:textId="67C0CCD3" w:rsidR="00252198" w:rsidRDefault="00252198" w:rsidP="003169F7">
      <w:pPr>
        <w:pStyle w:val="ListParagraph"/>
        <w:spacing w:after="120" w:line="300" w:lineRule="atLeast"/>
        <w:ind w:left="928"/>
        <w:contextualSpacing w:val="0"/>
        <w:jc w:val="both"/>
      </w:pPr>
      <w:r w:rsidRPr="00252198">
        <w:t>Stage 4: Assessing the significance of any effects</w:t>
      </w:r>
    </w:p>
    <w:p w14:paraId="6A7E9C95" w14:textId="78118774" w:rsidR="0071667E" w:rsidRPr="00827BBA" w:rsidRDefault="0071667E" w:rsidP="003169F7">
      <w:pPr>
        <w:pStyle w:val="ListParagraph"/>
        <w:spacing w:after="120" w:line="300" w:lineRule="atLeast"/>
        <w:ind w:left="567"/>
        <w:contextualSpacing w:val="0"/>
        <w:jc w:val="both"/>
        <w:rPr>
          <w:i/>
        </w:rPr>
      </w:pPr>
      <w:r w:rsidRPr="00827BBA">
        <w:rPr>
          <w:i/>
        </w:rPr>
        <w:t>Stage 1</w:t>
      </w:r>
    </w:p>
    <w:p w14:paraId="7B4827D6" w14:textId="7AB134A1" w:rsidR="00252198" w:rsidRDefault="00252198" w:rsidP="00827BBA">
      <w:pPr>
        <w:pStyle w:val="ListParagraph"/>
        <w:numPr>
          <w:ilvl w:val="1"/>
          <w:numId w:val="3"/>
        </w:numPr>
        <w:spacing w:after="120" w:line="300" w:lineRule="atLeast"/>
        <w:jc w:val="both"/>
      </w:pPr>
      <w:r>
        <w:t xml:space="preserve">It can be determined that the </w:t>
      </w:r>
      <w:r w:rsidR="000A23ED">
        <w:t>Sustainable Construction SPD</w:t>
      </w:r>
      <w:r>
        <w:t xml:space="preserve"> is not directly connected with, or necessary to the management of a site.</w:t>
      </w:r>
    </w:p>
    <w:p w14:paraId="0CAD9AF8" w14:textId="2C99D197" w:rsidR="00252198" w:rsidRPr="00827BBA" w:rsidRDefault="00252198" w:rsidP="003169F7">
      <w:pPr>
        <w:spacing w:after="120" w:line="300" w:lineRule="atLeast"/>
        <w:ind w:left="568"/>
        <w:jc w:val="both"/>
        <w:rPr>
          <w:i/>
        </w:rPr>
      </w:pPr>
      <w:r w:rsidRPr="00827BBA">
        <w:rPr>
          <w:i/>
        </w:rPr>
        <w:t>Stage 2 to 4</w:t>
      </w:r>
    </w:p>
    <w:p w14:paraId="739B14C3" w14:textId="1EC9F8F7" w:rsidR="007C57A3" w:rsidRDefault="00252198" w:rsidP="00827BBA">
      <w:pPr>
        <w:pStyle w:val="ListParagraph"/>
        <w:numPr>
          <w:ilvl w:val="1"/>
          <w:numId w:val="3"/>
        </w:numPr>
        <w:spacing w:after="120" w:line="300" w:lineRule="atLeast"/>
        <w:jc w:val="both"/>
      </w:pPr>
      <w:r w:rsidRPr="00B35865">
        <w:t>Information about the scope of the SPD can be found in Section</w:t>
      </w:r>
      <w:r w:rsidR="00B35865" w:rsidRPr="00B35865">
        <w:t xml:space="preserve"> </w:t>
      </w:r>
      <w:r w:rsidRPr="00B35865">
        <w:t>2 of this</w:t>
      </w:r>
      <w:r w:rsidR="0071667E">
        <w:t xml:space="preserve"> Screening</w:t>
      </w:r>
      <w:r w:rsidRPr="00B35865">
        <w:t xml:space="preserve"> </w:t>
      </w:r>
      <w:r w:rsidR="0071667E">
        <w:t>D</w:t>
      </w:r>
      <w:r w:rsidRPr="00B35865">
        <w:t xml:space="preserve">ocument.  </w:t>
      </w:r>
      <w:r w:rsidR="007C57A3" w:rsidRPr="00B35865">
        <w:t xml:space="preserve">  The SPD su</w:t>
      </w:r>
      <w:r w:rsidR="002B6765">
        <w:t>pports S</w:t>
      </w:r>
      <w:r w:rsidR="0071667E">
        <w:t xml:space="preserve">outh </w:t>
      </w:r>
      <w:r w:rsidR="002B6765">
        <w:t>D</w:t>
      </w:r>
      <w:r w:rsidR="0071667E">
        <w:t xml:space="preserve">owns </w:t>
      </w:r>
      <w:r w:rsidR="002B6765">
        <w:t>L</w:t>
      </w:r>
      <w:r w:rsidR="0071667E">
        <w:t xml:space="preserve">ocal </w:t>
      </w:r>
      <w:r w:rsidR="002B6765">
        <w:t>P</w:t>
      </w:r>
      <w:r w:rsidR="0071667E">
        <w:t>lan</w:t>
      </w:r>
      <w:r w:rsidR="002B6765">
        <w:t xml:space="preserve"> policies, which are </w:t>
      </w:r>
      <w:r w:rsidR="007C57A3" w:rsidRPr="00B35865">
        <w:t>already subject to a full HRA</w:t>
      </w:r>
      <w:r w:rsidR="002B6765">
        <w:t>, including of any in-combination effects with other plans and / or project.</w:t>
      </w:r>
      <w:r w:rsidR="00B35865">
        <w:t xml:space="preserve">  The S</w:t>
      </w:r>
      <w:r w:rsidR="0071667E">
        <w:t xml:space="preserve">outh </w:t>
      </w:r>
      <w:r w:rsidR="00B35865">
        <w:t>D</w:t>
      </w:r>
      <w:r w:rsidR="0071667E">
        <w:t xml:space="preserve">owns </w:t>
      </w:r>
      <w:r w:rsidR="00B35865">
        <w:t>L</w:t>
      </w:r>
      <w:r w:rsidR="0071667E">
        <w:t xml:space="preserve">ocal </w:t>
      </w:r>
      <w:r w:rsidR="00B35865">
        <w:t>P</w:t>
      </w:r>
      <w:r w:rsidR="0071667E">
        <w:t>lan</w:t>
      </w:r>
      <w:r w:rsidR="00B35865">
        <w:t xml:space="preserve"> HRA considered the potential effects on the following European sites:</w:t>
      </w:r>
    </w:p>
    <w:p w14:paraId="4560DA5F" w14:textId="77777777" w:rsidR="001D3802" w:rsidRDefault="001D3802" w:rsidP="001D3802">
      <w:pPr>
        <w:pStyle w:val="ListParagraph"/>
        <w:spacing w:after="120" w:line="300" w:lineRule="atLeast"/>
        <w:ind w:left="567"/>
        <w:jc w:val="both"/>
      </w:pPr>
    </w:p>
    <w:p w14:paraId="4FDF3043" w14:textId="77777777" w:rsidR="002D50DF" w:rsidRDefault="002D50DF" w:rsidP="003169F7">
      <w:pPr>
        <w:pStyle w:val="ListParagraph"/>
        <w:numPr>
          <w:ilvl w:val="1"/>
          <w:numId w:val="27"/>
        </w:numPr>
        <w:spacing w:after="120" w:line="300" w:lineRule="atLeast"/>
        <w:contextualSpacing w:val="0"/>
        <w:jc w:val="both"/>
      </w:pPr>
      <w:r>
        <w:t>Calcareous grassland sites: Lewes Downs SAC, Castle Hill SAC and Butser Hill SAC</w:t>
      </w:r>
    </w:p>
    <w:p w14:paraId="1E6598A7" w14:textId="77777777" w:rsidR="002D50DF" w:rsidRDefault="002D50DF" w:rsidP="003169F7">
      <w:pPr>
        <w:pStyle w:val="ListParagraph"/>
        <w:numPr>
          <w:ilvl w:val="1"/>
          <w:numId w:val="27"/>
        </w:numPr>
        <w:spacing w:after="120" w:line="300" w:lineRule="atLeast"/>
        <w:contextualSpacing w:val="0"/>
        <w:jc w:val="both"/>
      </w:pPr>
      <w:r>
        <w:t xml:space="preserve">Woodland sites: </w:t>
      </w:r>
      <w:proofErr w:type="spellStart"/>
      <w:r>
        <w:t>Duncton</w:t>
      </w:r>
      <w:proofErr w:type="spellEnd"/>
      <w:r>
        <w:t xml:space="preserve"> to </w:t>
      </w:r>
      <w:proofErr w:type="spellStart"/>
      <w:r>
        <w:t>Bignor</w:t>
      </w:r>
      <w:proofErr w:type="spellEnd"/>
      <w:r>
        <w:t xml:space="preserve"> Escarpment SAC, </w:t>
      </w:r>
      <w:proofErr w:type="spellStart"/>
      <w:r>
        <w:t>Kingley</w:t>
      </w:r>
      <w:proofErr w:type="spellEnd"/>
      <w:r>
        <w:t xml:space="preserve"> Vale SAC, East Hampshire Hangers SAC and Rook Cliff SAC</w:t>
      </w:r>
    </w:p>
    <w:p w14:paraId="59E355A7" w14:textId="0159D42B" w:rsidR="002D50DF" w:rsidRDefault="002D50DF" w:rsidP="003169F7">
      <w:pPr>
        <w:pStyle w:val="ListParagraph"/>
        <w:numPr>
          <w:ilvl w:val="1"/>
          <w:numId w:val="27"/>
        </w:numPr>
        <w:spacing w:after="120" w:line="300" w:lineRule="atLeast"/>
        <w:contextualSpacing w:val="0"/>
        <w:jc w:val="both"/>
      </w:pPr>
      <w:r>
        <w:t xml:space="preserve">Heathland bog sites: </w:t>
      </w:r>
      <w:proofErr w:type="spellStart"/>
      <w:r>
        <w:t>Thursley</w:t>
      </w:r>
      <w:proofErr w:type="spellEnd"/>
      <w:r>
        <w:t xml:space="preserve">, Ash, </w:t>
      </w:r>
      <w:proofErr w:type="spellStart"/>
      <w:r>
        <w:t>Pirbright</w:t>
      </w:r>
      <w:proofErr w:type="spellEnd"/>
      <w:r>
        <w:t xml:space="preserve"> and </w:t>
      </w:r>
      <w:proofErr w:type="spellStart"/>
      <w:r>
        <w:t>Chobham</w:t>
      </w:r>
      <w:proofErr w:type="spellEnd"/>
      <w:r>
        <w:t xml:space="preserve"> SAC, Woolmer Forest SAC, Ashdown Forest and </w:t>
      </w:r>
      <w:proofErr w:type="spellStart"/>
      <w:r>
        <w:t>Shortheath</w:t>
      </w:r>
      <w:proofErr w:type="spellEnd"/>
      <w:r>
        <w:t xml:space="preserve"> Common SAC</w:t>
      </w:r>
    </w:p>
    <w:p w14:paraId="3B07CB9F" w14:textId="77777777" w:rsidR="002D50DF" w:rsidRDefault="002D50DF" w:rsidP="003169F7">
      <w:pPr>
        <w:pStyle w:val="ListParagraph"/>
        <w:numPr>
          <w:ilvl w:val="1"/>
          <w:numId w:val="27"/>
        </w:numPr>
        <w:spacing w:after="120" w:line="300" w:lineRule="atLeast"/>
        <w:contextualSpacing w:val="0"/>
        <w:jc w:val="both"/>
      </w:pPr>
      <w:r>
        <w:t xml:space="preserve">Bat sites: The </w:t>
      </w:r>
      <w:proofErr w:type="spellStart"/>
      <w:r>
        <w:t>Mens</w:t>
      </w:r>
      <w:proofErr w:type="spellEnd"/>
      <w:r>
        <w:t xml:space="preserve"> SAC, Singleton and Cocking Tunnels SAC, and </w:t>
      </w:r>
      <w:proofErr w:type="spellStart"/>
      <w:r>
        <w:t>Ebernoe</w:t>
      </w:r>
      <w:proofErr w:type="spellEnd"/>
      <w:r>
        <w:t xml:space="preserve"> Common SAC</w:t>
      </w:r>
    </w:p>
    <w:p w14:paraId="5AE728FC" w14:textId="711C3ABD" w:rsidR="002D50DF" w:rsidRDefault="002D50DF" w:rsidP="003169F7">
      <w:pPr>
        <w:pStyle w:val="ListParagraph"/>
        <w:numPr>
          <w:ilvl w:val="1"/>
          <w:numId w:val="27"/>
        </w:numPr>
        <w:spacing w:after="120" w:line="300" w:lineRule="atLeast"/>
        <w:contextualSpacing w:val="0"/>
        <w:jc w:val="both"/>
      </w:pPr>
      <w:r>
        <w:t>Heathland bird sites: Wealden Heaths Phase II SPA, Ashdown Forest SPA and Woolmer Forest SAC</w:t>
      </w:r>
    </w:p>
    <w:p w14:paraId="152D1856" w14:textId="77777777" w:rsidR="002D50DF" w:rsidRPr="002D50DF" w:rsidRDefault="002D50DF" w:rsidP="003169F7">
      <w:pPr>
        <w:pStyle w:val="ListParagraph"/>
        <w:numPr>
          <w:ilvl w:val="1"/>
          <w:numId w:val="27"/>
        </w:numPr>
        <w:spacing w:after="120"/>
      </w:pPr>
      <w:r w:rsidRPr="002D50DF">
        <w:t xml:space="preserve">Riverine sites: River Itchen SAC, </w:t>
      </w:r>
      <w:proofErr w:type="spellStart"/>
      <w:r w:rsidRPr="002D50DF">
        <w:t>Arun</w:t>
      </w:r>
      <w:proofErr w:type="spellEnd"/>
      <w:r w:rsidRPr="002D50DF">
        <w:t xml:space="preserve"> Valley SAC/SPA/</w:t>
      </w:r>
      <w:proofErr w:type="spellStart"/>
      <w:r w:rsidRPr="002D50DF">
        <w:t>Ramsar</w:t>
      </w:r>
      <w:proofErr w:type="spellEnd"/>
      <w:r w:rsidRPr="002D50DF">
        <w:t xml:space="preserve"> </w:t>
      </w:r>
    </w:p>
    <w:p w14:paraId="2448560F" w14:textId="7260C8D9" w:rsidR="00B35865" w:rsidRDefault="002D50DF" w:rsidP="003169F7">
      <w:pPr>
        <w:pStyle w:val="ListParagraph"/>
        <w:numPr>
          <w:ilvl w:val="1"/>
          <w:numId w:val="27"/>
        </w:numPr>
        <w:spacing w:after="120"/>
      </w:pPr>
      <w:r>
        <w:t xml:space="preserve">Estuarine sites: </w:t>
      </w:r>
      <w:r w:rsidR="00B35865" w:rsidRPr="002D50DF">
        <w:t xml:space="preserve">Chichester and </w:t>
      </w:r>
      <w:proofErr w:type="spellStart"/>
      <w:r w:rsidR="00B35865" w:rsidRPr="002D50DF">
        <w:t>Langstone</w:t>
      </w:r>
      <w:proofErr w:type="spellEnd"/>
      <w:r w:rsidR="00B35865" w:rsidRPr="002D50DF">
        <w:t xml:space="preserve"> Harbours SPA / </w:t>
      </w:r>
      <w:proofErr w:type="spellStart"/>
      <w:r w:rsidR="00B35865" w:rsidRPr="002D50DF">
        <w:t>Ramsar</w:t>
      </w:r>
      <w:proofErr w:type="spellEnd"/>
      <w:r>
        <w:t xml:space="preserve">, Solent Maritime SAC, </w:t>
      </w:r>
      <w:proofErr w:type="spellStart"/>
      <w:r>
        <w:t>Dorest</w:t>
      </w:r>
      <w:proofErr w:type="spellEnd"/>
      <w:r>
        <w:t xml:space="preserve"> and Solent potential SPA</w:t>
      </w:r>
      <w:r w:rsidR="00B35865" w:rsidRPr="002D50DF">
        <w:t xml:space="preserve"> </w:t>
      </w:r>
    </w:p>
    <w:p w14:paraId="06062BB1" w14:textId="35C6C658" w:rsidR="002D50DF" w:rsidRDefault="002D50DF" w:rsidP="003169F7">
      <w:pPr>
        <w:pStyle w:val="ListParagraph"/>
        <w:numPr>
          <w:ilvl w:val="1"/>
          <w:numId w:val="27"/>
        </w:numPr>
        <w:spacing w:after="120"/>
      </w:pPr>
      <w:r>
        <w:t xml:space="preserve">Wetland sites: Pevensey Levels SAC/ </w:t>
      </w:r>
      <w:proofErr w:type="spellStart"/>
      <w:r>
        <w:t>Ramsar</w:t>
      </w:r>
      <w:proofErr w:type="spellEnd"/>
      <w:r>
        <w:t xml:space="preserve"> site</w:t>
      </w:r>
    </w:p>
    <w:p w14:paraId="25B3FBC8" w14:textId="77777777" w:rsidR="002D50DF" w:rsidRPr="002D50DF" w:rsidRDefault="002D50DF" w:rsidP="003169F7">
      <w:pPr>
        <w:pStyle w:val="ListParagraph"/>
        <w:spacing w:after="120"/>
        <w:ind w:left="1440"/>
      </w:pPr>
    </w:p>
    <w:p w14:paraId="0EE39582" w14:textId="07CA4D1C" w:rsidR="007C57A3" w:rsidRDefault="00A25741" w:rsidP="00827BBA">
      <w:pPr>
        <w:pStyle w:val="ListParagraph"/>
        <w:numPr>
          <w:ilvl w:val="1"/>
          <w:numId w:val="3"/>
        </w:numPr>
        <w:spacing w:after="120" w:line="300" w:lineRule="atLeast"/>
        <w:jc w:val="both"/>
      </w:pPr>
      <w:r>
        <w:t>The following impact pathways were identified as relevant to the S</w:t>
      </w:r>
      <w:r w:rsidR="00462B7D">
        <w:t xml:space="preserve">outh Downs </w:t>
      </w:r>
      <w:r>
        <w:t>L</w:t>
      </w:r>
      <w:r w:rsidR="00462B7D">
        <w:t xml:space="preserve">ocal </w:t>
      </w:r>
      <w:r>
        <w:t>P</w:t>
      </w:r>
      <w:r w:rsidR="00462B7D">
        <w:t>lan</w:t>
      </w:r>
      <w:r>
        <w:t xml:space="preserve"> HRA:</w:t>
      </w:r>
    </w:p>
    <w:p w14:paraId="183ED716" w14:textId="77777777" w:rsidR="00462B7D" w:rsidRDefault="00462B7D" w:rsidP="00827BBA">
      <w:pPr>
        <w:pStyle w:val="ListParagraph"/>
        <w:numPr>
          <w:ilvl w:val="1"/>
          <w:numId w:val="20"/>
        </w:numPr>
        <w:spacing w:after="120" w:line="300" w:lineRule="atLeast"/>
        <w:contextualSpacing w:val="0"/>
        <w:jc w:val="both"/>
      </w:pPr>
      <w:r>
        <w:t>Recreation pressure</w:t>
      </w:r>
    </w:p>
    <w:p w14:paraId="3DCE3119" w14:textId="77777777" w:rsidR="00462B7D" w:rsidRDefault="00462B7D" w:rsidP="00827BBA">
      <w:pPr>
        <w:pStyle w:val="ListParagraph"/>
        <w:numPr>
          <w:ilvl w:val="1"/>
          <w:numId w:val="20"/>
        </w:numPr>
        <w:spacing w:after="120" w:line="300" w:lineRule="atLeast"/>
        <w:contextualSpacing w:val="0"/>
        <w:jc w:val="both"/>
      </w:pPr>
      <w:r>
        <w:t>Air Quality</w:t>
      </w:r>
    </w:p>
    <w:p w14:paraId="2A3E5836" w14:textId="77777777" w:rsidR="00462B7D" w:rsidRDefault="00462B7D" w:rsidP="00827BBA">
      <w:pPr>
        <w:pStyle w:val="ListParagraph"/>
        <w:numPr>
          <w:ilvl w:val="1"/>
          <w:numId w:val="20"/>
        </w:numPr>
        <w:spacing w:after="120" w:line="300" w:lineRule="atLeast"/>
        <w:contextualSpacing w:val="0"/>
        <w:jc w:val="both"/>
      </w:pPr>
      <w:r>
        <w:t>Water quantity and changes in hydrological cycles</w:t>
      </w:r>
    </w:p>
    <w:p w14:paraId="34CAD813" w14:textId="77777777" w:rsidR="00462B7D" w:rsidRDefault="00462B7D" w:rsidP="00827BBA">
      <w:pPr>
        <w:pStyle w:val="ListParagraph"/>
        <w:numPr>
          <w:ilvl w:val="1"/>
          <w:numId w:val="20"/>
        </w:numPr>
        <w:spacing w:after="120" w:line="300" w:lineRule="atLeast"/>
        <w:contextualSpacing w:val="0"/>
        <w:jc w:val="both"/>
      </w:pPr>
      <w:r>
        <w:t>Water quality</w:t>
      </w:r>
    </w:p>
    <w:p w14:paraId="2F6F286D" w14:textId="77777777" w:rsidR="00462B7D" w:rsidRDefault="00462B7D" w:rsidP="00827BBA">
      <w:pPr>
        <w:pStyle w:val="ListParagraph"/>
        <w:numPr>
          <w:ilvl w:val="1"/>
          <w:numId w:val="20"/>
        </w:numPr>
        <w:spacing w:after="120" w:line="300" w:lineRule="atLeast"/>
        <w:contextualSpacing w:val="0"/>
        <w:jc w:val="both"/>
      </w:pPr>
      <w:r>
        <w:t>Loss of supporting habitat</w:t>
      </w:r>
    </w:p>
    <w:p w14:paraId="6BB1CCB5" w14:textId="7F337E0D" w:rsidR="00462B7D" w:rsidRDefault="00462B7D" w:rsidP="00827BBA">
      <w:pPr>
        <w:pStyle w:val="ListParagraph"/>
        <w:numPr>
          <w:ilvl w:val="1"/>
          <w:numId w:val="20"/>
        </w:numPr>
        <w:spacing w:after="120" w:line="300" w:lineRule="atLeast"/>
        <w:contextualSpacing w:val="0"/>
        <w:jc w:val="both"/>
      </w:pPr>
      <w:r>
        <w:t>Urbanisation</w:t>
      </w:r>
    </w:p>
    <w:p w14:paraId="2A7ABAE0" w14:textId="030C5DDA" w:rsidR="00904159" w:rsidRDefault="00204E95" w:rsidP="00827BBA">
      <w:pPr>
        <w:pStyle w:val="ListParagraph"/>
        <w:numPr>
          <w:ilvl w:val="1"/>
          <w:numId w:val="3"/>
        </w:numPr>
        <w:spacing w:after="120" w:line="300" w:lineRule="atLeast"/>
        <w:jc w:val="both"/>
      </w:pPr>
      <w:r>
        <w:lastRenderedPageBreak/>
        <w:t>Th</w:t>
      </w:r>
      <w:r w:rsidR="00462B7D">
        <w:t xml:space="preserve">rough the </w:t>
      </w:r>
      <w:r>
        <w:t>HRA</w:t>
      </w:r>
      <w:r w:rsidR="00462B7D">
        <w:t xml:space="preserve"> of the Local Plan, t</w:t>
      </w:r>
      <w:r>
        <w:t xml:space="preserve">he following </w:t>
      </w:r>
      <w:r w:rsidR="00904159">
        <w:t>assessment was made of SDLP policies SD2</w:t>
      </w:r>
      <w:r w:rsidR="00827BBA">
        <w:t xml:space="preserve"> / SD3 / SD22 and SD48.</w:t>
      </w:r>
    </w:p>
    <w:p w14:paraId="0C7925F4" w14:textId="77777777" w:rsidR="001D3802" w:rsidRDefault="001D3802" w:rsidP="001D3802">
      <w:pPr>
        <w:pStyle w:val="ListParagraph"/>
        <w:spacing w:after="120" w:line="300" w:lineRule="atLeast"/>
        <w:ind w:left="567"/>
        <w:jc w:val="both"/>
      </w:pPr>
    </w:p>
    <w:tbl>
      <w:tblPr>
        <w:tblStyle w:val="TableGrid"/>
        <w:tblW w:w="5000" w:type="pct"/>
        <w:tblLook w:val="04A0" w:firstRow="1" w:lastRow="0" w:firstColumn="1" w:lastColumn="0" w:noHBand="0" w:noVBand="1"/>
      </w:tblPr>
      <w:tblGrid>
        <w:gridCol w:w="2335"/>
        <w:gridCol w:w="6681"/>
      </w:tblGrid>
      <w:tr w:rsidR="00462B7D" w:rsidRPr="00827BBA" w14:paraId="27750128" w14:textId="40440DC9" w:rsidTr="00827BBA">
        <w:tc>
          <w:tcPr>
            <w:tcW w:w="1295" w:type="pct"/>
          </w:tcPr>
          <w:p w14:paraId="7E1CADB4" w14:textId="2D3F8598" w:rsidR="00462B7D" w:rsidRPr="00827BBA" w:rsidRDefault="00462B7D" w:rsidP="001D3802">
            <w:pPr>
              <w:pStyle w:val="ListParagraph"/>
              <w:spacing w:after="120" w:line="300" w:lineRule="atLeast"/>
              <w:ind w:left="0"/>
              <w:contextualSpacing w:val="0"/>
              <w:rPr>
                <w:b/>
              </w:rPr>
            </w:pPr>
            <w:r w:rsidRPr="00827BBA">
              <w:rPr>
                <w:b/>
              </w:rPr>
              <w:t>Policy</w:t>
            </w:r>
          </w:p>
        </w:tc>
        <w:tc>
          <w:tcPr>
            <w:tcW w:w="3705" w:type="pct"/>
          </w:tcPr>
          <w:p w14:paraId="0DD1BDB3" w14:textId="7B32850F" w:rsidR="00462B7D" w:rsidRPr="00827BBA" w:rsidRDefault="00462B7D" w:rsidP="003169F7">
            <w:pPr>
              <w:pStyle w:val="ListParagraph"/>
              <w:spacing w:after="120" w:line="300" w:lineRule="atLeast"/>
              <w:ind w:left="0"/>
              <w:contextualSpacing w:val="0"/>
              <w:jc w:val="both"/>
              <w:rPr>
                <w:b/>
              </w:rPr>
            </w:pPr>
            <w:r w:rsidRPr="00827BBA">
              <w:rPr>
                <w:b/>
              </w:rPr>
              <w:t>HRA Implications</w:t>
            </w:r>
          </w:p>
        </w:tc>
      </w:tr>
      <w:tr w:rsidR="00462B7D" w:rsidRPr="00827BBA" w14:paraId="256CFA71" w14:textId="0E61F956" w:rsidTr="00827BBA">
        <w:tc>
          <w:tcPr>
            <w:tcW w:w="1295" w:type="pct"/>
          </w:tcPr>
          <w:p w14:paraId="4EBA2184" w14:textId="72CC81BA" w:rsidR="00462B7D" w:rsidRPr="00827BBA" w:rsidRDefault="00462B7D" w:rsidP="001D3802">
            <w:pPr>
              <w:pStyle w:val="ListParagraph"/>
              <w:spacing w:after="120" w:line="300" w:lineRule="atLeast"/>
              <w:ind w:left="0"/>
              <w:contextualSpacing w:val="0"/>
            </w:pPr>
            <w:r w:rsidRPr="00827BBA">
              <w:t>Core Policy SD2: Ecosystem Services</w:t>
            </w:r>
          </w:p>
        </w:tc>
        <w:tc>
          <w:tcPr>
            <w:tcW w:w="3705" w:type="pct"/>
          </w:tcPr>
          <w:p w14:paraId="5FA714EF" w14:textId="08A3E881" w:rsidR="00462B7D" w:rsidRPr="00827BBA" w:rsidRDefault="00462B7D" w:rsidP="003169F7">
            <w:pPr>
              <w:pStyle w:val="ListParagraph"/>
              <w:spacing w:after="120" w:line="300" w:lineRule="atLeast"/>
              <w:ind w:left="0"/>
              <w:contextualSpacing w:val="0"/>
              <w:jc w:val="both"/>
            </w:pPr>
            <w:r w:rsidRPr="00827BBA">
              <w:rPr>
                <w:rFonts w:cs="Arial"/>
                <w:color w:val="000000"/>
              </w:rPr>
              <w:t>No HRA implications. This policy identifies that development will not be permitted if it is likely to have a detrimental impact upon ecosystem services. This is a positive policy. There are no linking impact pathways present.</w:t>
            </w:r>
          </w:p>
        </w:tc>
      </w:tr>
      <w:tr w:rsidR="00462B7D" w:rsidRPr="00827BBA" w14:paraId="72A7DFBF" w14:textId="15C078E6" w:rsidTr="00827BBA">
        <w:tc>
          <w:tcPr>
            <w:tcW w:w="1295" w:type="pct"/>
          </w:tcPr>
          <w:p w14:paraId="60D078B9" w14:textId="0D6BCD84" w:rsidR="00462B7D" w:rsidRPr="00827BBA" w:rsidRDefault="00462B7D" w:rsidP="001D3802">
            <w:pPr>
              <w:pStyle w:val="ListParagraph"/>
              <w:spacing w:after="120" w:line="300" w:lineRule="atLeast"/>
              <w:ind w:left="0"/>
              <w:contextualSpacing w:val="0"/>
              <w:rPr>
                <w:highlight w:val="yellow"/>
              </w:rPr>
            </w:pPr>
            <w:r w:rsidRPr="00827BBA">
              <w:t>Core Policy SD3: Major Development</w:t>
            </w:r>
          </w:p>
        </w:tc>
        <w:tc>
          <w:tcPr>
            <w:tcW w:w="3705" w:type="pct"/>
          </w:tcPr>
          <w:p w14:paraId="13EABF23" w14:textId="0777D820" w:rsidR="00462B7D" w:rsidRPr="00827BBA" w:rsidRDefault="00462B7D" w:rsidP="003169F7">
            <w:pPr>
              <w:pStyle w:val="ListParagraph"/>
              <w:spacing w:after="120" w:line="300" w:lineRule="atLeast"/>
              <w:ind w:left="0"/>
              <w:contextualSpacing w:val="0"/>
              <w:jc w:val="both"/>
            </w:pPr>
            <w:r w:rsidRPr="00827BBA">
              <w:t>No HRA implications. This policy identifies the criteria that constitute major development rather than presenting actual allocations. It identifies that major development will only be permitted in exceptional circumstances and it is in the public interest. This policy also provides for the requirement of sustainable measures. Whilst major development could potential result in likely significant effects, this policy does not explicitly provide for major development, merely criteria by which it will be assessed against and enhancement opportunities that will be sought. There are no linking impact pathways present.</w:t>
            </w:r>
          </w:p>
        </w:tc>
      </w:tr>
      <w:tr w:rsidR="00462B7D" w:rsidRPr="00827BBA" w14:paraId="2A24161C" w14:textId="77777777" w:rsidTr="00827BBA">
        <w:tc>
          <w:tcPr>
            <w:tcW w:w="1295" w:type="pct"/>
          </w:tcPr>
          <w:p w14:paraId="2C50ED21" w14:textId="643C25BA" w:rsidR="00462B7D" w:rsidRPr="00827BBA" w:rsidRDefault="00462B7D" w:rsidP="001D3802">
            <w:pPr>
              <w:pStyle w:val="ListParagraph"/>
              <w:spacing w:after="120" w:line="300" w:lineRule="atLeast"/>
              <w:ind w:left="0"/>
              <w:contextualSpacing w:val="0"/>
              <w:rPr>
                <w:highlight w:val="yellow"/>
              </w:rPr>
            </w:pPr>
            <w:r w:rsidRPr="00827BBA">
              <w:t>Development Management Policy SD22: Parking Provision</w:t>
            </w:r>
          </w:p>
        </w:tc>
        <w:tc>
          <w:tcPr>
            <w:tcW w:w="3705" w:type="pct"/>
          </w:tcPr>
          <w:p w14:paraId="719632B4" w14:textId="6BD84D8F" w:rsidR="00462B7D" w:rsidRPr="00827BBA" w:rsidRDefault="00462B7D" w:rsidP="003169F7">
            <w:pPr>
              <w:pStyle w:val="ListParagraph"/>
              <w:spacing w:after="120" w:line="300" w:lineRule="atLeast"/>
              <w:ind w:left="0"/>
              <w:contextualSpacing w:val="0"/>
              <w:jc w:val="both"/>
              <w:rPr>
                <w:highlight w:val="yellow"/>
              </w:rPr>
            </w:pPr>
            <w:r w:rsidRPr="00827BBA">
              <w:t>No HRA implications. This is a development management policy relating to parking provision. It is a positive policy as it provides for connections to allow vehicle charging, thus encouraging the use of electric vehicles which has the potential to reduce atmospheric pollution contributions. There are no linking impact pathways present.</w:t>
            </w:r>
          </w:p>
        </w:tc>
      </w:tr>
      <w:tr w:rsidR="00462B7D" w:rsidRPr="00827BBA" w14:paraId="48B1F80A" w14:textId="77777777" w:rsidTr="00827BBA">
        <w:tc>
          <w:tcPr>
            <w:tcW w:w="1295" w:type="pct"/>
          </w:tcPr>
          <w:p w14:paraId="6121FB05" w14:textId="0560E6AA" w:rsidR="00462B7D" w:rsidRPr="00827BBA" w:rsidRDefault="00462B7D" w:rsidP="001D3802">
            <w:pPr>
              <w:pStyle w:val="ListParagraph"/>
              <w:spacing w:after="120" w:line="300" w:lineRule="atLeast"/>
              <w:ind w:left="0"/>
              <w:contextualSpacing w:val="0"/>
              <w:rPr>
                <w:highlight w:val="yellow"/>
              </w:rPr>
            </w:pPr>
            <w:r w:rsidRPr="00827BBA">
              <w:t>Strategic Policy SD48: Climate Change and Sustainable Use of Resources</w:t>
            </w:r>
          </w:p>
        </w:tc>
        <w:tc>
          <w:tcPr>
            <w:tcW w:w="3705" w:type="pct"/>
          </w:tcPr>
          <w:p w14:paraId="16C618CC" w14:textId="3E16F5BD" w:rsidR="00462B7D" w:rsidRPr="00827BBA" w:rsidRDefault="00462B7D" w:rsidP="003169F7">
            <w:pPr>
              <w:pStyle w:val="ListParagraph"/>
              <w:spacing w:after="120" w:line="300" w:lineRule="atLeast"/>
              <w:ind w:left="0"/>
              <w:contextualSpacing w:val="0"/>
              <w:jc w:val="both"/>
              <w:rPr>
                <w:highlight w:val="yellow"/>
              </w:rPr>
            </w:pPr>
            <w:r w:rsidRPr="00827BBA">
              <w:t>No HRA implications. This is a positive policy in that it promotes sustainable development, which has potential to reduce greenhouse gas emissions, and thus theoretically improve air quality. There are no linking impact pathways present.</w:t>
            </w:r>
          </w:p>
        </w:tc>
      </w:tr>
    </w:tbl>
    <w:p w14:paraId="1117751C" w14:textId="77777777" w:rsidR="00462B7D" w:rsidRDefault="00462B7D" w:rsidP="003169F7">
      <w:pPr>
        <w:spacing w:after="120" w:line="300" w:lineRule="atLeast"/>
        <w:ind w:left="568"/>
        <w:jc w:val="both"/>
      </w:pPr>
    </w:p>
    <w:p w14:paraId="4C333C92" w14:textId="11DE1D51" w:rsidR="002B6765" w:rsidRPr="00462B7D" w:rsidRDefault="002B6765" w:rsidP="00827BBA">
      <w:pPr>
        <w:spacing w:after="120" w:line="300" w:lineRule="atLeast"/>
        <w:jc w:val="both"/>
        <w:rPr>
          <w:b/>
        </w:rPr>
      </w:pPr>
      <w:r w:rsidRPr="00462B7D">
        <w:rPr>
          <w:b/>
        </w:rPr>
        <w:t>HRA screening conclusion</w:t>
      </w:r>
    </w:p>
    <w:p w14:paraId="6BE7927F" w14:textId="13019FAD" w:rsidR="000D7DFB" w:rsidRDefault="00964E49" w:rsidP="00827BBA">
      <w:pPr>
        <w:pStyle w:val="ListParagraph"/>
        <w:numPr>
          <w:ilvl w:val="1"/>
          <w:numId w:val="3"/>
        </w:numPr>
        <w:spacing w:after="120" w:line="300" w:lineRule="atLeast"/>
        <w:jc w:val="both"/>
      </w:pPr>
      <w:r>
        <w:t xml:space="preserve">The </w:t>
      </w:r>
      <w:r w:rsidR="000A23ED">
        <w:t>Sustainable Construction SPD</w:t>
      </w:r>
      <w:r>
        <w:t xml:space="preserve"> </w:t>
      </w:r>
      <w:r w:rsidRPr="00964E49">
        <w:t>provide</w:t>
      </w:r>
      <w:r>
        <w:t>s</w:t>
      </w:r>
      <w:r w:rsidRPr="00964E49">
        <w:t xml:space="preserve"> further guidance to support the implementation of </w:t>
      </w:r>
      <w:r w:rsidR="00F37B2B">
        <w:t xml:space="preserve">a number of </w:t>
      </w:r>
      <w:r>
        <w:t>policies</w:t>
      </w:r>
      <w:r w:rsidR="00F37B2B">
        <w:t xml:space="preserve"> within the Local Plan. These policies have already been considered through the HRA of the Local Plan, there are no impact pathways present and no implications were found.  </w:t>
      </w:r>
      <w:r>
        <w:t xml:space="preserve">The SPD does not set the principle of development nor does it direct development to a specific location.   A full appropriate assessment is </w:t>
      </w:r>
      <w:r w:rsidR="002B6765">
        <w:t>not required.</w:t>
      </w:r>
      <w:r>
        <w:t xml:space="preserve">   </w:t>
      </w:r>
    </w:p>
    <w:p w14:paraId="40576FE9" w14:textId="77777777" w:rsidR="00827BBA" w:rsidRDefault="00827BBA" w:rsidP="00827BBA">
      <w:pPr>
        <w:pStyle w:val="ListParagraph"/>
        <w:spacing w:after="120" w:line="300" w:lineRule="atLeast"/>
        <w:ind w:left="567"/>
        <w:jc w:val="both"/>
      </w:pPr>
    </w:p>
    <w:p w14:paraId="3B6C411B" w14:textId="641D9E3E" w:rsidR="001B4DCB" w:rsidRPr="000D7DFB" w:rsidRDefault="001B4DCB" w:rsidP="00827BBA">
      <w:pPr>
        <w:pStyle w:val="ListParagraph"/>
        <w:numPr>
          <w:ilvl w:val="1"/>
          <w:numId w:val="3"/>
        </w:numPr>
        <w:spacing w:after="120" w:line="300" w:lineRule="atLeast"/>
        <w:jc w:val="both"/>
      </w:pPr>
      <w:r w:rsidRPr="000D7DFB">
        <w:t xml:space="preserve">This determination was made on </w:t>
      </w:r>
      <w:r w:rsidR="00A11D46">
        <w:t>14</w:t>
      </w:r>
      <w:r w:rsidR="00A11D46" w:rsidRPr="00A11D46">
        <w:rPr>
          <w:vertAlign w:val="superscript"/>
        </w:rPr>
        <w:t>th</w:t>
      </w:r>
      <w:r w:rsidR="00A11D46">
        <w:t xml:space="preserve"> January </w:t>
      </w:r>
      <w:r w:rsidR="000D7DFB" w:rsidRPr="000D7DFB">
        <w:t>20</w:t>
      </w:r>
      <w:r w:rsidR="00A11D46">
        <w:t>20</w:t>
      </w:r>
      <w:r w:rsidR="000D7DFB" w:rsidRPr="000D7DFB">
        <w:t>.</w:t>
      </w:r>
    </w:p>
    <w:p w14:paraId="04CEEB05" w14:textId="49B23EFD" w:rsidR="002D50DF" w:rsidRDefault="002D50DF" w:rsidP="003169F7">
      <w:pPr>
        <w:pStyle w:val="ListParagraph"/>
        <w:spacing w:after="120" w:line="300" w:lineRule="atLeast"/>
        <w:ind w:left="928"/>
        <w:contextualSpacing w:val="0"/>
        <w:jc w:val="both"/>
      </w:pPr>
    </w:p>
    <w:p w14:paraId="69D23DAE" w14:textId="77777777" w:rsidR="002D50DF" w:rsidRDefault="002D50DF" w:rsidP="003169F7">
      <w:pPr>
        <w:pStyle w:val="ListParagraph"/>
        <w:spacing w:after="120" w:line="300" w:lineRule="atLeast"/>
        <w:ind w:left="928"/>
        <w:contextualSpacing w:val="0"/>
        <w:jc w:val="both"/>
      </w:pPr>
    </w:p>
    <w:p w14:paraId="26503886" w14:textId="77777777" w:rsidR="00252198" w:rsidRDefault="00252198" w:rsidP="003169F7">
      <w:pPr>
        <w:spacing w:after="120" w:line="300" w:lineRule="atLeast"/>
        <w:jc w:val="both"/>
      </w:pPr>
    </w:p>
    <w:p w14:paraId="15A87975" w14:textId="77777777" w:rsidR="00252198" w:rsidRPr="001B4DCB" w:rsidRDefault="00252198" w:rsidP="003169F7">
      <w:pPr>
        <w:spacing w:after="120" w:line="300" w:lineRule="atLeast"/>
        <w:jc w:val="both"/>
      </w:pPr>
    </w:p>
    <w:sectPr w:rsidR="00252198" w:rsidRPr="001B4DCB" w:rsidSect="00B3586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B6D6D" w14:textId="77777777" w:rsidR="00827BBA" w:rsidRDefault="00827BBA" w:rsidP="005C2915">
      <w:pPr>
        <w:spacing w:after="0" w:line="240" w:lineRule="auto"/>
      </w:pPr>
      <w:r>
        <w:separator/>
      </w:r>
    </w:p>
  </w:endnote>
  <w:endnote w:type="continuationSeparator" w:id="0">
    <w:p w14:paraId="7362FDCA" w14:textId="77777777" w:rsidR="00827BBA" w:rsidRDefault="00827BBA" w:rsidP="005C2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ourceSansPro-Light">
    <w:panose1 w:val="00000000000000000000"/>
    <w:charset w:val="00"/>
    <w:family w:val="auto"/>
    <w:notTrueType/>
    <w:pitch w:val="default"/>
    <w:sig w:usb0="00000003" w:usb1="00000000" w:usb2="00000000" w:usb3="00000000" w:csb0="00000001" w:csb1="00000000"/>
  </w:font>
  <w:font w:name="AECOM Sans">
    <w:altName w:val="AECOM Sans Ligh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617527"/>
      <w:docPartObj>
        <w:docPartGallery w:val="Page Numbers (Bottom of Page)"/>
        <w:docPartUnique/>
      </w:docPartObj>
    </w:sdtPr>
    <w:sdtEndPr>
      <w:rPr>
        <w:noProof/>
      </w:rPr>
    </w:sdtEndPr>
    <w:sdtContent>
      <w:p w14:paraId="213EA616" w14:textId="75950FBD" w:rsidR="00827BBA" w:rsidRDefault="00827BBA">
        <w:pPr>
          <w:pStyle w:val="Footer"/>
          <w:jc w:val="center"/>
        </w:pPr>
        <w:r>
          <w:rPr>
            <w:noProof/>
            <w:lang w:eastAsia="en-GB"/>
          </w:rPr>
          <w:drawing>
            <wp:anchor distT="0" distB="0" distL="0" distR="0" simplePos="0" relativeHeight="251661312" behindDoc="1" locked="0" layoutInCell="1" allowOverlap="1" wp14:anchorId="115ABDA5" wp14:editId="2FE02002">
              <wp:simplePos x="0" y="0"/>
              <wp:positionH relativeFrom="page">
                <wp:align>right</wp:align>
              </wp:positionH>
              <wp:positionV relativeFrom="bottomMargin">
                <wp:posOffset>1122680</wp:posOffset>
              </wp:positionV>
              <wp:extent cx="7558532" cy="579878"/>
              <wp:effectExtent l="0" t="0" r="4445" b="0"/>
              <wp:wrapNone/>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58532" cy="579878"/>
                      </a:xfrm>
                      <a:prstGeom prst="rect">
                        <a:avLst/>
                      </a:prstGeom>
                    </pic:spPr>
                  </pic:pic>
                </a:graphicData>
              </a:graphic>
            </wp:anchor>
          </w:drawing>
        </w:r>
        <w:r>
          <w:fldChar w:fldCharType="begin"/>
        </w:r>
        <w:r>
          <w:instrText xml:space="preserve"> PAGE   \* MERGEFORMAT </w:instrText>
        </w:r>
        <w:r>
          <w:fldChar w:fldCharType="separate"/>
        </w:r>
        <w:r w:rsidR="003C499D">
          <w:rPr>
            <w:noProof/>
          </w:rPr>
          <w:t>1</w:t>
        </w:r>
        <w:r>
          <w:rPr>
            <w:noProof/>
          </w:rPr>
          <w:fldChar w:fldCharType="end"/>
        </w:r>
      </w:p>
    </w:sdtContent>
  </w:sdt>
  <w:p w14:paraId="7B764FF0" w14:textId="77777777" w:rsidR="00827BBA" w:rsidRDefault="00827B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D38F1" w14:textId="77777777" w:rsidR="00827BBA" w:rsidRDefault="00827BBA" w:rsidP="005C2915">
      <w:pPr>
        <w:spacing w:after="0" w:line="240" w:lineRule="auto"/>
      </w:pPr>
      <w:r>
        <w:separator/>
      </w:r>
    </w:p>
  </w:footnote>
  <w:footnote w:type="continuationSeparator" w:id="0">
    <w:p w14:paraId="79A126C3" w14:textId="77777777" w:rsidR="00827BBA" w:rsidRDefault="00827BBA" w:rsidP="005C2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1F6"/>
    <w:multiLevelType w:val="hybridMultilevel"/>
    <w:tmpl w:val="6794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343D3"/>
    <w:multiLevelType w:val="hybridMultilevel"/>
    <w:tmpl w:val="71EE13A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CED0C24"/>
    <w:multiLevelType w:val="hybridMultilevel"/>
    <w:tmpl w:val="01C2D5E2"/>
    <w:lvl w:ilvl="0" w:tplc="145C69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A629F"/>
    <w:multiLevelType w:val="hybridMultilevel"/>
    <w:tmpl w:val="50124B98"/>
    <w:lvl w:ilvl="0" w:tplc="145C69D8">
      <w:start w:val="1"/>
      <w:numFmt w:val="lowerRoman"/>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BEB4A61"/>
    <w:multiLevelType w:val="multilevel"/>
    <w:tmpl w:val="5D80920A"/>
    <w:lvl w:ilvl="0">
      <w:start w:val="1"/>
      <w:numFmt w:val="decimal"/>
      <w:lvlText w:val="%1."/>
      <w:lvlJc w:val="left"/>
      <w:pPr>
        <w:ind w:left="360" w:hanging="360"/>
      </w:pPr>
      <w:rPr>
        <w:rFonts w:hint="default"/>
        <w:b w:val="0"/>
        <w:i w:val="0"/>
        <w:caps w:val="0"/>
        <w:strike w:val="0"/>
        <w:dstrike w:val="0"/>
        <w:vanish w:val="0"/>
        <w:color w:val="847A18"/>
        <w:sz w:val="48"/>
        <w:vertAlign w:val="baseline"/>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635E96"/>
    <w:multiLevelType w:val="hybridMultilevel"/>
    <w:tmpl w:val="F2183B24"/>
    <w:lvl w:ilvl="0" w:tplc="7BFC11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434F9"/>
    <w:multiLevelType w:val="hybridMultilevel"/>
    <w:tmpl w:val="4A0060AA"/>
    <w:lvl w:ilvl="0" w:tplc="78E6A1B8">
      <w:start w:val="1"/>
      <w:numFmt w:val="decimal"/>
      <w:lvlText w:val="2.%1"/>
      <w:lvlJc w:val="left"/>
      <w:pPr>
        <w:ind w:left="928" w:hanging="360"/>
      </w:pPr>
      <w:rPr>
        <w:rFonts w:ascii="Gill Sans MT" w:hAnsi="Gill Sans MT" w:hint="default"/>
        <w:b/>
        <w:i w:val="0"/>
        <w:color w:val="756E1B"/>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C5BFA"/>
    <w:multiLevelType w:val="hybridMultilevel"/>
    <w:tmpl w:val="7B1C41CE"/>
    <w:lvl w:ilvl="0" w:tplc="7BFC11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5241F5"/>
    <w:multiLevelType w:val="hybridMultilevel"/>
    <w:tmpl w:val="20DE47FC"/>
    <w:lvl w:ilvl="0" w:tplc="3E42D61A">
      <w:start w:val="1"/>
      <w:numFmt w:val="decimal"/>
      <w:lvlText w:val="3.%1"/>
      <w:lvlJc w:val="left"/>
      <w:pPr>
        <w:ind w:left="720" w:hanging="360"/>
      </w:pPr>
      <w:rPr>
        <w:rFonts w:ascii="Gill Sans MT" w:hAnsi="Gill Sans MT" w:hint="default"/>
        <w:b/>
        <w:i w:val="0"/>
        <w:caps w:val="0"/>
        <w:strike w:val="0"/>
        <w:dstrike w:val="0"/>
        <w:vanish w:val="0"/>
        <w:color w:val="756E1B"/>
        <w:sz w:val="22"/>
        <w:szCs w:val="48"/>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DB5E35"/>
    <w:multiLevelType w:val="hybridMultilevel"/>
    <w:tmpl w:val="CC9C010E"/>
    <w:lvl w:ilvl="0" w:tplc="36A0010C">
      <w:start w:val="1"/>
      <w:numFmt w:val="decimal"/>
      <w:lvlText w:val="1.%1"/>
      <w:lvlJc w:val="left"/>
      <w:pPr>
        <w:ind w:left="720" w:hanging="360"/>
      </w:pPr>
      <w:rPr>
        <w:rFonts w:ascii="Gill Sans MT" w:hAnsi="Gill Sans MT" w:hint="default"/>
        <w:b/>
        <w:i w:val="0"/>
        <w:caps w:val="0"/>
        <w:strike w:val="0"/>
        <w:dstrike w:val="0"/>
        <w:vanish w:val="0"/>
        <w:color w:val="847A18"/>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EA6F30"/>
    <w:multiLevelType w:val="hybridMultilevel"/>
    <w:tmpl w:val="8ECA5CD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70D09F3"/>
    <w:multiLevelType w:val="hybridMultilevel"/>
    <w:tmpl w:val="6C8E41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B2A7DAF"/>
    <w:multiLevelType w:val="multilevel"/>
    <w:tmpl w:val="26CCDB48"/>
    <w:lvl w:ilvl="0">
      <w:start w:val="1"/>
      <w:numFmt w:val="decimal"/>
      <w:pStyle w:val="SDHeadA"/>
      <w:lvlText w:val="%1."/>
      <w:lvlJc w:val="left"/>
      <w:pPr>
        <w:ind w:left="360" w:hanging="360"/>
      </w:pPr>
      <w:rPr>
        <w:rFonts w:hint="default"/>
      </w:rPr>
    </w:lvl>
    <w:lvl w:ilvl="1">
      <w:start w:val="1"/>
      <w:numFmt w:val="decimal"/>
      <w:pStyle w:val="SDBodyNumber"/>
      <w:lvlText w:val="%1.%2"/>
      <w:lvlJc w:val="left"/>
      <w:pPr>
        <w:ind w:left="454" w:hanging="454"/>
      </w:pPr>
      <w:rPr>
        <w:rFonts w:hint="default"/>
        <w:b/>
        <w:i w:val="0"/>
        <w:color w:val="273482"/>
        <w:sz w:val="1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D231559"/>
    <w:multiLevelType w:val="hybridMultilevel"/>
    <w:tmpl w:val="495CC61A"/>
    <w:lvl w:ilvl="0" w:tplc="7BFC11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36657D"/>
    <w:multiLevelType w:val="hybridMultilevel"/>
    <w:tmpl w:val="91CCAF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4125EE"/>
    <w:multiLevelType w:val="hybridMultilevel"/>
    <w:tmpl w:val="306AC8D0"/>
    <w:lvl w:ilvl="0" w:tplc="695EC60C">
      <w:start w:val="1"/>
      <w:numFmt w:val="bullet"/>
      <w:lvlText w:val=""/>
      <w:lvlJc w:val="left"/>
      <w:pPr>
        <w:ind w:left="1287" w:hanging="360"/>
      </w:pPr>
      <w:rPr>
        <w:rFonts w:ascii="Symbol" w:hAnsi="Symbol" w:hint="default"/>
        <w:b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45CA2842"/>
    <w:multiLevelType w:val="hybridMultilevel"/>
    <w:tmpl w:val="72B2903E"/>
    <w:lvl w:ilvl="0" w:tplc="7BFC11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705863"/>
    <w:multiLevelType w:val="hybridMultilevel"/>
    <w:tmpl w:val="078E22B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4CD07AC0"/>
    <w:multiLevelType w:val="multilevel"/>
    <w:tmpl w:val="CC568BC6"/>
    <w:lvl w:ilvl="0">
      <w:start w:val="1"/>
      <w:numFmt w:val="decimal"/>
      <w:lvlText w:val="%1."/>
      <w:lvlJc w:val="left"/>
      <w:pPr>
        <w:ind w:left="927" w:hanging="360"/>
      </w:pPr>
      <w:rPr>
        <w:rFonts w:hint="default"/>
        <w:b/>
        <w:i w:val="0"/>
        <w:color w:val="756E1B"/>
        <w:sz w:val="22"/>
      </w:rPr>
    </w:lvl>
    <w:lvl w:ilvl="1">
      <w:start w:val="1"/>
      <w:numFmt w:val="bullet"/>
      <w:lvlText w:val=""/>
      <w:lvlJc w:val="left"/>
      <w:pPr>
        <w:ind w:left="1359" w:hanging="432"/>
      </w:pPr>
      <w:rPr>
        <w:rFonts w:ascii="Symbol" w:hAnsi="Symbol" w:hint="default"/>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9" w15:restartNumberingAfterBreak="0">
    <w:nsid w:val="512A091A"/>
    <w:multiLevelType w:val="hybridMultilevel"/>
    <w:tmpl w:val="9D78A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742093"/>
    <w:multiLevelType w:val="hybridMultilevel"/>
    <w:tmpl w:val="C5B2AF2E"/>
    <w:lvl w:ilvl="0" w:tplc="EC366ABE">
      <w:start w:val="1"/>
      <w:numFmt w:val="bullet"/>
      <w:lvlText w:val=""/>
      <w:lvlJc w:val="left"/>
      <w:pPr>
        <w:ind w:left="360" w:hanging="360"/>
      </w:pPr>
      <w:rPr>
        <w:rFonts w:ascii="Symbol" w:hAnsi="Symbol" w:hint="default"/>
        <w:color w:val="756E1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055266"/>
    <w:multiLevelType w:val="hybridMultilevel"/>
    <w:tmpl w:val="AAC8355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5F6C0777"/>
    <w:multiLevelType w:val="hybridMultilevel"/>
    <w:tmpl w:val="1F741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671C0"/>
    <w:multiLevelType w:val="hybridMultilevel"/>
    <w:tmpl w:val="8DAA30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0B75C4E"/>
    <w:multiLevelType w:val="hybridMultilevel"/>
    <w:tmpl w:val="D0504B3C"/>
    <w:lvl w:ilvl="0" w:tplc="145C69D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2E10056"/>
    <w:multiLevelType w:val="multilevel"/>
    <w:tmpl w:val="CC568BC6"/>
    <w:lvl w:ilvl="0">
      <w:start w:val="1"/>
      <w:numFmt w:val="decimal"/>
      <w:lvlText w:val="%1."/>
      <w:lvlJc w:val="left"/>
      <w:pPr>
        <w:ind w:left="927" w:hanging="360"/>
      </w:pPr>
      <w:rPr>
        <w:rFonts w:hint="default"/>
        <w:b/>
        <w:i w:val="0"/>
        <w:color w:val="756E1B"/>
        <w:sz w:val="22"/>
      </w:rPr>
    </w:lvl>
    <w:lvl w:ilvl="1">
      <w:start w:val="1"/>
      <w:numFmt w:val="bullet"/>
      <w:lvlText w:val=""/>
      <w:lvlJc w:val="left"/>
      <w:pPr>
        <w:ind w:left="1359" w:hanging="432"/>
      </w:pPr>
      <w:rPr>
        <w:rFonts w:ascii="Symbol" w:hAnsi="Symbol" w:hint="default"/>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6" w15:restartNumberingAfterBreak="0">
    <w:nsid w:val="7BB6435C"/>
    <w:multiLevelType w:val="hybridMultilevel"/>
    <w:tmpl w:val="DADE3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4"/>
  </w:num>
  <w:num w:numId="4">
    <w:abstractNumId w:val="9"/>
  </w:num>
  <w:num w:numId="5">
    <w:abstractNumId w:val="6"/>
  </w:num>
  <w:num w:numId="6">
    <w:abstractNumId w:val="8"/>
  </w:num>
  <w:num w:numId="7">
    <w:abstractNumId w:val="21"/>
  </w:num>
  <w:num w:numId="8">
    <w:abstractNumId w:val="23"/>
  </w:num>
  <w:num w:numId="9">
    <w:abstractNumId w:val="14"/>
  </w:num>
  <w:num w:numId="10">
    <w:abstractNumId w:val="15"/>
  </w:num>
  <w:num w:numId="11">
    <w:abstractNumId w:val="0"/>
  </w:num>
  <w:num w:numId="12">
    <w:abstractNumId w:val="19"/>
  </w:num>
  <w:num w:numId="13">
    <w:abstractNumId w:val="22"/>
  </w:num>
  <w:num w:numId="14">
    <w:abstractNumId w:val="17"/>
  </w:num>
  <w:num w:numId="15">
    <w:abstractNumId w:val="3"/>
  </w:num>
  <w:num w:numId="16">
    <w:abstractNumId w:val="2"/>
  </w:num>
  <w:num w:numId="17">
    <w:abstractNumId w:val="1"/>
  </w:num>
  <w:num w:numId="18">
    <w:abstractNumId w:val="24"/>
  </w:num>
  <w:num w:numId="19">
    <w:abstractNumId w:val="10"/>
  </w:num>
  <w:num w:numId="20">
    <w:abstractNumId w:val="25"/>
  </w:num>
  <w:num w:numId="21">
    <w:abstractNumId w:val="11"/>
  </w:num>
  <w:num w:numId="22">
    <w:abstractNumId w:val="26"/>
  </w:num>
  <w:num w:numId="23">
    <w:abstractNumId w:val="5"/>
  </w:num>
  <w:num w:numId="24">
    <w:abstractNumId w:val="13"/>
  </w:num>
  <w:num w:numId="25">
    <w:abstractNumId w:val="16"/>
  </w:num>
  <w:num w:numId="26">
    <w:abstractNumId w:val="7"/>
  </w:num>
  <w:num w:numId="27">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24"/>
    <w:rsid w:val="00015A8C"/>
    <w:rsid w:val="00016E7B"/>
    <w:rsid w:val="00022D08"/>
    <w:rsid w:val="00026F3A"/>
    <w:rsid w:val="000404EE"/>
    <w:rsid w:val="00043120"/>
    <w:rsid w:val="000539D5"/>
    <w:rsid w:val="00064142"/>
    <w:rsid w:val="00064F09"/>
    <w:rsid w:val="000652CA"/>
    <w:rsid w:val="00074A94"/>
    <w:rsid w:val="00082E6E"/>
    <w:rsid w:val="0009451F"/>
    <w:rsid w:val="00094BDD"/>
    <w:rsid w:val="000969A8"/>
    <w:rsid w:val="000A0C69"/>
    <w:rsid w:val="000A23ED"/>
    <w:rsid w:val="000A2C65"/>
    <w:rsid w:val="000A33C3"/>
    <w:rsid w:val="000B0290"/>
    <w:rsid w:val="000C24A7"/>
    <w:rsid w:val="000C2815"/>
    <w:rsid w:val="000C4C68"/>
    <w:rsid w:val="000C7F20"/>
    <w:rsid w:val="000D2FC2"/>
    <w:rsid w:val="000D7DFB"/>
    <w:rsid w:val="000E616D"/>
    <w:rsid w:val="000E7FC5"/>
    <w:rsid w:val="000F516C"/>
    <w:rsid w:val="0011065F"/>
    <w:rsid w:val="00112E1E"/>
    <w:rsid w:val="00123D20"/>
    <w:rsid w:val="00137B16"/>
    <w:rsid w:val="001418E4"/>
    <w:rsid w:val="001436C6"/>
    <w:rsid w:val="00145CDA"/>
    <w:rsid w:val="00146C09"/>
    <w:rsid w:val="00147C9D"/>
    <w:rsid w:val="001514D7"/>
    <w:rsid w:val="001653CB"/>
    <w:rsid w:val="001709CD"/>
    <w:rsid w:val="0017165E"/>
    <w:rsid w:val="00171C6A"/>
    <w:rsid w:val="001722F0"/>
    <w:rsid w:val="00172B85"/>
    <w:rsid w:val="00175ABE"/>
    <w:rsid w:val="00184493"/>
    <w:rsid w:val="00186C7A"/>
    <w:rsid w:val="001879EF"/>
    <w:rsid w:val="001A0E61"/>
    <w:rsid w:val="001B0DD4"/>
    <w:rsid w:val="001B3302"/>
    <w:rsid w:val="001B4DCB"/>
    <w:rsid w:val="001B6A7E"/>
    <w:rsid w:val="001D3802"/>
    <w:rsid w:val="001E4B84"/>
    <w:rsid w:val="001E5B20"/>
    <w:rsid w:val="001E799D"/>
    <w:rsid w:val="001F4351"/>
    <w:rsid w:val="001F7E93"/>
    <w:rsid w:val="002016F1"/>
    <w:rsid w:val="0020191F"/>
    <w:rsid w:val="002047CC"/>
    <w:rsid w:val="00204E95"/>
    <w:rsid w:val="00207411"/>
    <w:rsid w:val="0021581F"/>
    <w:rsid w:val="002170B5"/>
    <w:rsid w:val="00231DC2"/>
    <w:rsid w:val="00233051"/>
    <w:rsid w:val="0023308C"/>
    <w:rsid w:val="002340F1"/>
    <w:rsid w:val="0024233D"/>
    <w:rsid w:val="00244F47"/>
    <w:rsid w:val="00250470"/>
    <w:rsid w:val="00251D85"/>
    <w:rsid w:val="00252198"/>
    <w:rsid w:val="0025430D"/>
    <w:rsid w:val="00257206"/>
    <w:rsid w:val="00264CD2"/>
    <w:rsid w:val="00265354"/>
    <w:rsid w:val="0027366C"/>
    <w:rsid w:val="002855CB"/>
    <w:rsid w:val="00297AB1"/>
    <w:rsid w:val="002A130E"/>
    <w:rsid w:val="002A4706"/>
    <w:rsid w:val="002A6E24"/>
    <w:rsid w:val="002B6765"/>
    <w:rsid w:val="002C2EFC"/>
    <w:rsid w:val="002C6262"/>
    <w:rsid w:val="002D0295"/>
    <w:rsid w:val="002D2094"/>
    <w:rsid w:val="002D2169"/>
    <w:rsid w:val="002D50DF"/>
    <w:rsid w:val="002D7CA4"/>
    <w:rsid w:val="002E0A7A"/>
    <w:rsid w:val="002F1652"/>
    <w:rsid w:val="002F2A5B"/>
    <w:rsid w:val="00300AA5"/>
    <w:rsid w:val="00302B50"/>
    <w:rsid w:val="00305933"/>
    <w:rsid w:val="003154A8"/>
    <w:rsid w:val="003169F7"/>
    <w:rsid w:val="00321756"/>
    <w:rsid w:val="0032276E"/>
    <w:rsid w:val="0032427E"/>
    <w:rsid w:val="00324E72"/>
    <w:rsid w:val="003412AA"/>
    <w:rsid w:val="00345348"/>
    <w:rsid w:val="00345A5B"/>
    <w:rsid w:val="00346659"/>
    <w:rsid w:val="00362815"/>
    <w:rsid w:val="00367B9D"/>
    <w:rsid w:val="00377DC9"/>
    <w:rsid w:val="00381AE6"/>
    <w:rsid w:val="00382263"/>
    <w:rsid w:val="00383BF1"/>
    <w:rsid w:val="0038642B"/>
    <w:rsid w:val="003A0D1C"/>
    <w:rsid w:val="003A4B25"/>
    <w:rsid w:val="003A64CB"/>
    <w:rsid w:val="003A767D"/>
    <w:rsid w:val="003B6BE3"/>
    <w:rsid w:val="003C499D"/>
    <w:rsid w:val="003C709D"/>
    <w:rsid w:val="003D5F1D"/>
    <w:rsid w:val="003E0603"/>
    <w:rsid w:val="003E36E6"/>
    <w:rsid w:val="003E56A7"/>
    <w:rsid w:val="003E6102"/>
    <w:rsid w:val="003F55B5"/>
    <w:rsid w:val="003F6AEA"/>
    <w:rsid w:val="00430FE6"/>
    <w:rsid w:val="004337BC"/>
    <w:rsid w:val="00441C94"/>
    <w:rsid w:val="004478DC"/>
    <w:rsid w:val="00447A90"/>
    <w:rsid w:val="00462B7D"/>
    <w:rsid w:val="00473552"/>
    <w:rsid w:val="004738D4"/>
    <w:rsid w:val="00475D5A"/>
    <w:rsid w:val="00481B9B"/>
    <w:rsid w:val="004A2619"/>
    <w:rsid w:val="004A7FB3"/>
    <w:rsid w:val="004B12D1"/>
    <w:rsid w:val="004D471D"/>
    <w:rsid w:val="004F06FB"/>
    <w:rsid w:val="00502D0A"/>
    <w:rsid w:val="005036AA"/>
    <w:rsid w:val="00504895"/>
    <w:rsid w:val="0051163B"/>
    <w:rsid w:val="00512BF7"/>
    <w:rsid w:val="005159C8"/>
    <w:rsid w:val="00516396"/>
    <w:rsid w:val="00523037"/>
    <w:rsid w:val="005248AA"/>
    <w:rsid w:val="00527CBE"/>
    <w:rsid w:val="005355D1"/>
    <w:rsid w:val="00543BAD"/>
    <w:rsid w:val="00544ACA"/>
    <w:rsid w:val="00547951"/>
    <w:rsid w:val="005502B6"/>
    <w:rsid w:val="00551CAE"/>
    <w:rsid w:val="00556A6C"/>
    <w:rsid w:val="00561DD1"/>
    <w:rsid w:val="00566819"/>
    <w:rsid w:val="00572A6A"/>
    <w:rsid w:val="005767F9"/>
    <w:rsid w:val="00581B7D"/>
    <w:rsid w:val="0059066F"/>
    <w:rsid w:val="0059446F"/>
    <w:rsid w:val="0059501F"/>
    <w:rsid w:val="005966D8"/>
    <w:rsid w:val="00597A54"/>
    <w:rsid w:val="005A2FFD"/>
    <w:rsid w:val="005A48AC"/>
    <w:rsid w:val="005A4B2E"/>
    <w:rsid w:val="005A6621"/>
    <w:rsid w:val="005A75FD"/>
    <w:rsid w:val="005B3E48"/>
    <w:rsid w:val="005C05AA"/>
    <w:rsid w:val="005C2915"/>
    <w:rsid w:val="005C2A83"/>
    <w:rsid w:val="005C5564"/>
    <w:rsid w:val="005E33F8"/>
    <w:rsid w:val="005E3F6F"/>
    <w:rsid w:val="005E567E"/>
    <w:rsid w:val="005E605A"/>
    <w:rsid w:val="005E64B7"/>
    <w:rsid w:val="005F09A1"/>
    <w:rsid w:val="005F568B"/>
    <w:rsid w:val="005F7FAC"/>
    <w:rsid w:val="0060014A"/>
    <w:rsid w:val="00605528"/>
    <w:rsid w:val="006065CF"/>
    <w:rsid w:val="00614457"/>
    <w:rsid w:val="00615458"/>
    <w:rsid w:val="006206BF"/>
    <w:rsid w:val="00630C2F"/>
    <w:rsid w:val="0063450B"/>
    <w:rsid w:val="00636199"/>
    <w:rsid w:val="006421D8"/>
    <w:rsid w:val="00646F76"/>
    <w:rsid w:val="00661211"/>
    <w:rsid w:val="006651AE"/>
    <w:rsid w:val="00666ADD"/>
    <w:rsid w:val="00666C7A"/>
    <w:rsid w:val="00667930"/>
    <w:rsid w:val="00673B9D"/>
    <w:rsid w:val="0067644F"/>
    <w:rsid w:val="00680138"/>
    <w:rsid w:val="0068430C"/>
    <w:rsid w:val="006863BB"/>
    <w:rsid w:val="0068741A"/>
    <w:rsid w:val="00694FD2"/>
    <w:rsid w:val="006A1643"/>
    <w:rsid w:val="006A2054"/>
    <w:rsid w:val="006A26E4"/>
    <w:rsid w:val="006A3400"/>
    <w:rsid w:val="006A3EDF"/>
    <w:rsid w:val="006B3594"/>
    <w:rsid w:val="006C1585"/>
    <w:rsid w:val="006C38B5"/>
    <w:rsid w:val="006C5359"/>
    <w:rsid w:val="006D2CAB"/>
    <w:rsid w:val="006D7511"/>
    <w:rsid w:val="006E5025"/>
    <w:rsid w:val="006F329F"/>
    <w:rsid w:val="00701FF6"/>
    <w:rsid w:val="00702FB5"/>
    <w:rsid w:val="00705F59"/>
    <w:rsid w:val="00707F78"/>
    <w:rsid w:val="0071667E"/>
    <w:rsid w:val="00716847"/>
    <w:rsid w:val="00721C79"/>
    <w:rsid w:val="00727526"/>
    <w:rsid w:val="00733A8D"/>
    <w:rsid w:val="00752953"/>
    <w:rsid w:val="00757E47"/>
    <w:rsid w:val="00761114"/>
    <w:rsid w:val="007642A6"/>
    <w:rsid w:val="00766C06"/>
    <w:rsid w:val="00770685"/>
    <w:rsid w:val="007714F5"/>
    <w:rsid w:val="00792D3F"/>
    <w:rsid w:val="007B0AFE"/>
    <w:rsid w:val="007B2BCD"/>
    <w:rsid w:val="007B6C02"/>
    <w:rsid w:val="007C1547"/>
    <w:rsid w:val="007C3C68"/>
    <w:rsid w:val="007C57A3"/>
    <w:rsid w:val="00802F40"/>
    <w:rsid w:val="0081079C"/>
    <w:rsid w:val="0081189B"/>
    <w:rsid w:val="008134DE"/>
    <w:rsid w:val="008142FC"/>
    <w:rsid w:val="008246A7"/>
    <w:rsid w:val="00827BBA"/>
    <w:rsid w:val="00834C25"/>
    <w:rsid w:val="00857E1E"/>
    <w:rsid w:val="00860BEF"/>
    <w:rsid w:val="00862ACB"/>
    <w:rsid w:val="00866886"/>
    <w:rsid w:val="00870E70"/>
    <w:rsid w:val="008713E2"/>
    <w:rsid w:val="00876F8C"/>
    <w:rsid w:val="00885BC4"/>
    <w:rsid w:val="00891253"/>
    <w:rsid w:val="00895530"/>
    <w:rsid w:val="008A7C87"/>
    <w:rsid w:val="008B08F7"/>
    <w:rsid w:val="008B1A92"/>
    <w:rsid w:val="008B2EDC"/>
    <w:rsid w:val="008C5C14"/>
    <w:rsid w:val="008C62F6"/>
    <w:rsid w:val="008D4A78"/>
    <w:rsid w:val="008D5A54"/>
    <w:rsid w:val="008D75E3"/>
    <w:rsid w:val="008E64F7"/>
    <w:rsid w:val="008F3830"/>
    <w:rsid w:val="008F5E7B"/>
    <w:rsid w:val="00904159"/>
    <w:rsid w:val="00905340"/>
    <w:rsid w:val="00905489"/>
    <w:rsid w:val="0090634A"/>
    <w:rsid w:val="00912572"/>
    <w:rsid w:val="009175B9"/>
    <w:rsid w:val="00922260"/>
    <w:rsid w:val="00925F05"/>
    <w:rsid w:val="00930955"/>
    <w:rsid w:val="00934735"/>
    <w:rsid w:val="009378AA"/>
    <w:rsid w:val="009401CF"/>
    <w:rsid w:val="009504CF"/>
    <w:rsid w:val="009613D3"/>
    <w:rsid w:val="00964E49"/>
    <w:rsid w:val="00974003"/>
    <w:rsid w:val="009804E7"/>
    <w:rsid w:val="00985AE8"/>
    <w:rsid w:val="009925C2"/>
    <w:rsid w:val="00995AF0"/>
    <w:rsid w:val="009A0592"/>
    <w:rsid w:val="009A0F86"/>
    <w:rsid w:val="009B142F"/>
    <w:rsid w:val="009B4B1A"/>
    <w:rsid w:val="009C1852"/>
    <w:rsid w:val="009C20CF"/>
    <w:rsid w:val="009C3853"/>
    <w:rsid w:val="009D27E8"/>
    <w:rsid w:val="009D30E4"/>
    <w:rsid w:val="009F070D"/>
    <w:rsid w:val="009F5251"/>
    <w:rsid w:val="009F68C7"/>
    <w:rsid w:val="009F7304"/>
    <w:rsid w:val="00A0000E"/>
    <w:rsid w:val="00A1046F"/>
    <w:rsid w:val="00A11D46"/>
    <w:rsid w:val="00A23CA2"/>
    <w:rsid w:val="00A25741"/>
    <w:rsid w:val="00A435FA"/>
    <w:rsid w:val="00A44C7C"/>
    <w:rsid w:val="00A44D56"/>
    <w:rsid w:val="00A46398"/>
    <w:rsid w:val="00A5065B"/>
    <w:rsid w:val="00A52C4B"/>
    <w:rsid w:val="00A61F38"/>
    <w:rsid w:val="00A72371"/>
    <w:rsid w:val="00A7408C"/>
    <w:rsid w:val="00A77724"/>
    <w:rsid w:val="00A83FFE"/>
    <w:rsid w:val="00A86306"/>
    <w:rsid w:val="00A911A4"/>
    <w:rsid w:val="00A931ED"/>
    <w:rsid w:val="00A97152"/>
    <w:rsid w:val="00A97396"/>
    <w:rsid w:val="00AA77DE"/>
    <w:rsid w:val="00AB11A3"/>
    <w:rsid w:val="00AC5BBE"/>
    <w:rsid w:val="00AD5209"/>
    <w:rsid w:val="00AE280C"/>
    <w:rsid w:val="00AE3463"/>
    <w:rsid w:val="00AF2BF5"/>
    <w:rsid w:val="00B07C4A"/>
    <w:rsid w:val="00B12883"/>
    <w:rsid w:val="00B251FE"/>
    <w:rsid w:val="00B301EF"/>
    <w:rsid w:val="00B3288C"/>
    <w:rsid w:val="00B35865"/>
    <w:rsid w:val="00B3625D"/>
    <w:rsid w:val="00B5317C"/>
    <w:rsid w:val="00B53C09"/>
    <w:rsid w:val="00B560A3"/>
    <w:rsid w:val="00B575ED"/>
    <w:rsid w:val="00B63E47"/>
    <w:rsid w:val="00B64219"/>
    <w:rsid w:val="00B708E8"/>
    <w:rsid w:val="00B7223C"/>
    <w:rsid w:val="00B7617C"/>
    <w:rsid w:val="00B76DB1"/>
    <w:rsid w:val="00B905B0"/>
    <w:rsid w:val="00B9095C"/>
    <w:rsid w:val="00B92C43"/>
    <w:rsid w:val="00BA1D9B"/>
    <w:rsid w:val="00BA4491"/>
    <w:rsid w:val="00BA5141"/>
    <w:rsid w:val="00BB30B4"/>
    <w:rsid w:val="00BC7372"/>
    <w:rsid w:val="00BD3AEF"/>
    <w:rsid w:val="00BD4549"/>
    <w:rsid w:val="00BD602E"/>
    <w:rsid w:val="00BD7D39"/>
    <w:rsid w:val="00BE4B48"/>
    <w:rsid w:val="00BE5F5E"/>
    <w:rsid w:val="00C0205A"/>
    <w:rsid w:val="00C15657"/>
    <w:rsid w:val="00C234E2"/>
    <w:rsid w:val="00C44F57"/>
    <w:rsid w:val="00C479CB"/>
    <w:rsid w:val="00C52CF7"/>
    <w:rsid w:val="00C549D9"/>
    <w:rsid w:val="00C62A67"/>
    <w:rsid w:val="00C66E3F"/>
    <w:rsid w:val="00C7753F"/>
    <w:rsid w:val="00C851A6"/>
    <w:rsid w:val="00C9435D"/>
    <w:rsid w:val="00C94F70"/>
    <w:rsid w:val="00C97EAB"/>
    <w:rsid w:val="00CA2A8C"/>
    <w:rsid w:val="00CA5112"/>
    <w:rsid w:val="00CA74B6"/>
    <w:rsid w:val="00CA7981"/>
    <w:rsid w:val="00CB6821"/>
    <w:rsid w:val="00CC1332"/>
    <w:rsid w:val="00CC7050"/>
    <w:rsid w:val="00CC7D66"/>
    <w:rsid w:val="00CD13EB"/>
    <w:rsid w:val="00CD3ECD"/>
    <w:rsid w:val="00CD6F53"/>
    <w:rsid w:val="00CE326F"/>
    <w:rsid w:val="00CE35A7"/>
    <w:rsid w:val="00CF052B"/>
    <w:rsid w:val="00CF388A"/>
    <w:rsid w:val="00CF714A"/>
    <w:rsid w:val="00D01B7C"/>
    <w:rsid w:val="00D025A0"/>
    <w:rsid w:val="00D129BD"/>
    <w:rsid w:val="00D16EA1"/>
    <w:rsid w:val="00D30441"/>
    <w:rsid w:val="00D30947"/>
    <w:rsid w:val="00D35FA8"/>
    <w:rsid w:val="00D3607B"/>
    <w:rsid w:val="00D41CBE"/>
    <w:rsid w:val="00D53570"/>
    <w:rsid w:val="00D54F9C"/>
    <w:rsid w:val="00D72C00"/>
    <w:rsid w:val="00D749F4"/>
    <w:rsid w:val="00D80809"/>
    <w:rsid w:val="00D83960"/>
    <w:rsid w:val="00D95105"/>
    <w:rsid w:val="00D951DA"/>
    <w:rsid w:val="00DA05F4"/>
    <w:rsid w:val="00DB61E0"/>
    <w:rsid w:val="00DC5224"/>
    <w:rsid w:val="00DE287E"/>
    <w:rsid w:val="00DE33F9"/>
    <w:rsid w:val="00DE54F3"/>
    <w:rsid w:val="00DE5E4B"/>
    <w:rsid w:val="00DF2D02"/>
    <w:rsid w:val="00E05595"/>
    <w:rsid w:val="00E067A1"/>
    <w:rsid w:val="00E11887"/>
    <w:rsid w:val="00E129E9"/>
    <w:rsid w:val="00E152B1"/>
    <w:rsid w:val="00E24765"/>
    <w:rsid w:val="00E30797"/>
    <w:rsid w:val="00E325C9"/>
    <w:rsid w:val="00E61FEF"/>
    <w:rsid w:val="00E63957"/>
    <w:rsid w:val="00E672B2"/>
    <w:rsid w:val="00E764E2"/>
    <w:rsid w:val="00E916E9"/>
    <w:rsid w:val="00E94A86"/>
    <w:rsid w:val="00E95EAC"/>
    <w:rsid w:val="00EA7E00"/>
    <w:rsid w:val="00EB6005"/>
    <w:rsid w:val="00EB6DE2"/>
    <w:rsid w:val="00EC0318"/>
    <w:rsid w:val="00EC1947"/>
    <w:rsid w:val="00EC580D"/>
    <w:rsid w:val="00ED5B47"/>
    <w:rsid w:val="00EE315C"/>
    <w:rsid w:val="00EE5BAC"/>
    <w:rsid w:val="00EF5526"/>
    <w:rsid w:val="00F072BB"/>
    <w:rsid w:val="00F25829"/>
    <w:rsid w:val="00F32E1A"/>
    <w:rsid w:val="00F33132"/>
    <w:rsid w:val="00F356EB"/>
    <w:rsid w:val="00F37B2B"/>
    <w:rsid w:val="00F37DDC"/>
    <w:rsid w:val="00F433C3"/>
    <w:rsid w:val="00F62786"/>
    <w:rsid w:val="00F639E0"/>
    <w:rsid w:val="00F9413F"/>
    <w:rsid w:val="00F969FC"/>
    <w:rsid w:val="00FB54E0"/>
    <w:rsid w:val="00FC325A"/>
    <w:rsid w:val="00FE2542"/>
    <w:rsid w:val="00FF5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10EB08E8"/>
  <w15:chartTrackingRefBased/>
  <w15:docId w15:val="{0E5C16CF-6DD2-4C3F-B4B1-F3DBA053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9EF"/>
    <w:rPr>
      <w:rFonts w:ascii="Gill Sans MT" w:hAnsi="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724"/>
    <w:pPr>
      <w:ind w:left="720"/>
      <w:contextualSpacing/>
    </w:pPr>
  </w:style>
  <w:style w:type="paragraph" w:styleId="Header">
    <w:name w:val="header"/>
    <w:basedOn w:val="Normal"/>
    <w:link w:val="HeaderChar"/>
    <w:uiPriority w:val="99"/>
    <w:unhideWhenUsed/>
    <w:rsid w:val="005C2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915"/>
  </w:style>
  <w:style w:type="paragraph" w:styleId="Footer">
    <w:name w:val="footer"/>
    <w:basedOn w:val="Normal"/>
    <w:link w:val="FooterChar"/>
    <w:uiPriority w:val="99"/>
    <w:unhideWhenUsed/>
    <w:rsid w:val="005C2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915"/>
  </w:style>
  <w:style w:type="paragraph" w:customStyle="1" w:styleId="SDBodyNumber">
    <w:name w:val="SD_BodyNumber"/>
    <w:basedOn w:val="ListParagraph"/>
    <w:qFormat/>
    <w:rsid w:val="00701FF6"/>
    <w:pPr>
      <w:keepLines/>
      <w:numPr>
        <w:ilvl w:val="1"/>
        <w:numId w:val="2"/>
      </w:numPr>
      <w:autoSpaceDE w:val="0"/>
      <w:autoSpaceDN w:val="0"/>
      <w:adjustRightInd w:val="0"/>
      <w:spacing w:after="100" w:line="300" w:lineRule="atLeast"/>
      <w:contextualSpacing w:val="0"/>
    </w:pPr>
    <w:rPr>
      <w:rFonts w:eastAsia="Times New Roman" w:cs="Helvetica"/>
      <w:lang w:eastAsia="en-GB"/>
    </w:rPr>
  </w:style>
  <w:style w:type="paragraph" w:customStyle="1" w:styleId="SDHeadA">
    <w:name w:val="SD_HeadA"/>
    <w:basedOn w:val="Normal"/>
    <w:qFormat/>
    <w:rsid w:val="00701FF6"/>
    <w:pPr>
      <w:numPr>
        <w:numId w:val="2"/>
      </w:numPr>
      <w:pBdr>
        <w:bottom w:val="single" w:sz="12" w:space="1" w:color="273482"/>
      </w:pBdr>
      <w:spacing w:after="240" w:line="240" w:lineRule="auto"/>
    </w:pPr>
    <w:rPr>
      <w:rFonts w:eastAsia="Times New Roman" w:cs="Times New Roman"/>
      <w:caps/>
      <w:color w:val="273482"/>
      <w:sz w:val="48"/>
      <w:szCs w:val="48"/>
      <w:lang w:eastAsia="en-GB"/>
    </w:rPr>
  </w:style>
  <w:style w:type="character" w:customStyle="1" w:styleId="Italic">
    <w:name w:val="Italic"/>
    <w:basedOn w:val="DefaultParagraphFont"/>
    <w:uiPriority w:val="1"/>
    <w:qFormat/>
    <w:rsid w:val="003E36E6"/>
    <w:rPr>
      <w:rFonts w:ascii="Gill Sans MT" w:hAnsi="Gill Sans MT" w:cs="Helvetica"/>
      <w:i/>
      <w:szCs w:val="22"/>
    </w:rPr>
  </w:style>
  <w:style w:type="paragraph" w:customStyle="1" w:styleId="Default">
    <w:name w:val="Default"/>
    <w:rsid w:val="00A911A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544A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4ACA"/>
    <w:rPr>
      <w:sz w:val="20"/>
      <w:szCs w:val="20"/>
    </w:rPr>
  </w:style>
  <w:style w:type="character" w:styleId="FootnoteReference">
    <w:name w:val="footnote reference"/>
    <w:basedOn w:val="DefaultParagraphFont"/>
    <w:uiPriority w:val="99"/>
    <w:semiHidden/>
    <w:unhideWhenUsed/>
    <w:rsid w:val="00544ACA"/>
    <w:rPr>
      <w:vertAlign w:val="superscript"/>
    </w:rPr>
  </w:style>
  <w:style w:type="character" w:styleId="Hyperlink">
    <w:name w:val="Hyperlink"/>
    <w:basedOn w:val="DefaultParagraphFont"/>
    <w:uiPriority w:val="99"/>
    <w:unhideWhenUsed/>
    <w:rsid w:val="002170B5"/>
    <w:rPr>
      <w:color w:val="0563C1" w:themeColor="hyperlink"/>
      <w:u w:val="single"/>
    </w:rPr>
  </w:style>
  <w:style w:type="table" w:styleId="TableGrid">
    <w:name w:val="Table Grid"/>
    <w:basedOn w:val="TableNormal"/>
    <w:uiPriority w:val="39"/>
    <w:rsid w:val="008C6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withindent">
    <w:name w:val="Body text with indent"/>
    <w:basedOn w:val="Normal"/>
    <w:next w:val="Normal"/>
    <w:link w:val="BodytextwithindentChar"/>
    <w:qFormat/>
    <w:rsid w:val="000539D5"/>
    <w:pPr>
      <w:spacing w:before="120" w:after="240" w:line="360" w:lineRule="auto"/>
      <w:ind w:left="794"/>
      <w:jc w:val="both"/>
    </w:pPr>
    <w:rPr>
      <w:rFonts w:ascii="Arial" w:eastAsiaTheme="minorEastAsia" w:hAnsi="Arial" w:cs="Arial"/>
      <w:color w:val="000000" w:themeColor="text1"/>
      <w:sz w:val="20"/>
      <w:szCs w:val="18"/>
      <w:lang w:eastAsia="ja-JP"/>
    </w:rPr>
  </w:style>
  <w:style w:type="character" w:customStyle="1" w:styleId="BodytextwithindentChar">
    <w:name w:val="Body text with indent Char"/>
    <w:basedOn w:val="DefaultParagraphFont"/>
    <w:link w:val="Bodytextwithindent"/>
    <w:rsid w:val="000539D5"/>
    <w:rPr>
      <w:rFonts w:ascii="Arial" w:eastAsiaTheme="minorEastAsia" w:hAnsi="Arial" w:cs="Arial"/>
      <w:color w:val="000000" w:themeColor="text1"/>
      <w:sz w:val="20"/>
      <w:szCs w:val="18"/>
      <w:lang w:eastAsia="ja-JP"/>
    </w:rPr>
  </w:style>
  <w:style w:type="table" w:customStyle="1" w:styleId="Style1">
    <w:name w:val="Style1"/>
    <w:basedOn w:val="TableNormal"/>
    <w:uiPriority w:val="99"/>
    <w:rsid w:val="000539D5"/>
    <w:pPr>
      <w:spacing w:after="0" w:line="300" w:lineRule="auto"/>
    </w:pPr>
    <w:rPr>
      <w:rFonts w:ascii="Arial" w:hAnsi="Arial"/>
      <w:sz w:val="20"/>
    </w:rPr>
    <w:tblP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pPr>
        <w:jc w:val="center"/>
      </w:pPr>
      <w:rPr>
        <w:rFonts w:ascii="Arial" w:hAnsi="Arial"/>
        <w:b w:val="0"/>
        <w:i w:val="0"/>
        <w:color w:val="FFFFFF" w:themeColor="background1"/>
        <w:sz w:val="20"/>
      </w:rPr>
      <w:tblPr/>
      <w:tcPr>
        <w:shd w:val="clear" w:color="auto" w:fill="ED7D31" w:themeFill="accent2"/>
      </w:tcPr>
    </w:tblStylePr>
    <w:tblStylePr w:type="firstCol">
      <w:pPr>
        <w:jc w:val="left"/>
      </w:pPr>
      <w:tblPr/>
      <w:tcPr>
        <w:vAlign w:val="center"/>
      </w:tcPr>
    </w:tblStylePr>
  </w:style>
  <w:style w:type="character" w:styleId="CommentReference">
    <w:name w:val="annotation reference"/>
    <w:basedOn w:val="DefaultParagraphFont"/>
    <w:uiPriority w:val="99"/>
    <w:semiHidden/>
    <w:unhideWhenUsed/>
    <w:rsid w:val="001B0DD4"/>
    <w:rPr>
      <w:sz w:val="16"/>
      <w:szCs w:val="16"/>
    </w:rPr>
  </w:style>
  <w:style w:type="paragraph" w:styleId="CommentText">
    <w:name w:val="annotation text"/>
    <w:basedOn w:val="Normal"/>
    <w:link w:val="CommentTextChar"/>
    <w:uiPriority w:val="99"/>
    <w:semiHidden/>
    <w:unhideWhenUsed/>
    <w:rsid w:val="001B0DD4"/>
    <w:pPr>
      <w:spacing w:line="240" w:lineRule="auto"/>
    </w:pPr>
    <w:rPr>
      <w:sz w:val="20"/>
      <w:szCs w:val="20"/>
    </w:rPr>
  </w:style>
  <w:style w:type="character" w:customStyle="1" w:styleId="CommentTextChar">
    <w:name w:val="Comment Text Char"/>
    <w:basedOn w:val="DefaultParagraphFont"/>
    <w:link w:val="CommentText"/>
    <w:uiPriority w:val="99"/>
    <w:semiHidden/>
    <w:rsid w:val="001B0DD4"/>
    <w:rPr>
      <w:sz w:val="20"/>
      <w:szCs w:val="20"/>
    </w:rPr>
  </w:style>
  <w:style w:type="paragraph" w:styleId="CommentSubject">
    <w:name w:val="annotation subject"/>
    <w:basedOn w:val="CommentText"/>
    <w:next w:val="CommentText"/>
    <w:link w:val="CommentSubjectChar"/>
    <w:uiPriority w:val="99"/>
    <w:semiHidden/>
    <w:unhideWhenUsed/>
    <w:rsid w:val="001B0DD4"/>
    <w:rPr>
      <w:b/>
      <w:bCs/>
    </w:rPr>
  </w:style>
  <w:style w:type="character" w:customStyle="1" w:styleId="CommentSubjectChar">
    <w:name w:val="Comment Subject Char"/>
    <w:basedOn w:val="CommentTextChar"/>
    <w:link w:val="CommentSubject"/>
    <w:uiPriority w:val="99"/>
    <w:semiHidden/>
    <w:rsid w:val="001B0DD4"/>
    <w:rPr>
      <w:b/>
      <w:bCs/>
      <w:sz w:val="20"/>
      <w:szCs w:val="20"/>
    </w:rPr>
  </w:style>
  <w:style w:type="paragraph" w:styleId="BalloonText">
    <w:name w:val="Balloon Text"/>
    <w:basedOn w:val="Normal"/>
    <w:link w:val="BalloonTextChar"/>
    <w:uiPriority w:val="99"/>
    <w:semiHidden/>
    <w:unhideWhenUsed/>
    <w:rsid w:val="001B0D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DD4"/>
    <w:rPr>
      <w:rFonts w:ascii="Segoe UI" w:hAnsi="Segoe UI" w:cs="Segoe UI"/>
      <w:sz w:val="18"/>
      <w:szCs w:val="18"/>
    </w:rPr>
  </w:style>
  <w:style w:type="character" w:styleId="FollowedHyperlink">
    <w:name w:val="FollowedHyperlink"/>
    <w:basedOn w:val="DefaultParagraphFont"/>
    <w:uiPriority w:val="99"/>
    <w:semiHidden/>
    <w:unhideWhenUsed/>
    <w:rsid w:val="001B6A7E"/>
    <w:rPr>
      <w:color w:val="954F72" w:themeColor="followedHyperlink"/>
      <w:u w:val="single"/>
    </w:rPr>
  </w:style>
  <w:style w:type="paragraph" w:styleId="Title">
    <w:name w:val="Title"/>
    <w:basedOn w:val="Normal"/>
    <w:next w:val="Normal"/>
    <w:link w:val="TitleChar"/>
    <w:uiPriority w:val="10"/>
    <w:qFormat/>
    <w:rsid w:val="002A13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130E"/>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2A13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21055">
      <w:bodyDiv w:val="1"/>
      <w:marLeft w:val="0"/>
      <w:marRight w:val="0"/>
      <w:marTop w:val="0"/>
      <w:marBottom w:val="0"/>
      <w:divBdr>
        <w:top w:val="none" w:sz="0" w:space="0" w:color="auto"/>
        <w:left w:val="none" w:sz="0" w:space="0" w:color="auto"/>
        <w:bottom w:val="none" w:sz="0" w:space="0" w:color="auto"/>
        <w:right w:val="none" w:sz="0" w:space="0" w:color="auto"/>
      </w:divBdr>
    </w:div>
    <w:div w:id="757291741">
      <w:bodyDiv w:val="1"/>
      <w:marLeft w:val="0"/>
      <w:marRight w:val="0"/>
      <w:marTop w:val="0"/>
      <w:marBottom w:val="0"/>
      <w:divBdr>
        <w:top w:val="none" w:sz="0" w:space="0" w:color="auto"/>
        <w:left w:val="none" w:sz="0" w:space="0" w:color="auto"/>
        <w:bottom w:val="none" w:sz="0" w:space="0" w:color="auto"/>
        <w:right w:val="none" w:sz="0" w:space="0" w:color="auto"/>
      </w:divBdr>
    </w:div>
    <w:div w:id="1505126269">
      <w:bodyDiv w:val="1"/>
      <w:marLeft w:val="0"/>
      <w:marRight w:val="0"/>
      <w:marTop w:val="0"/>
      <w:marBottom w:val="0"/>
      <w:divBdr>
        <w:top w:val="none" w:sz="0" w:space="0" w:color="auto"/>
        <w:left w:val="none" w:sz="0" w:space="0" w:color="auto"/>
        <w:bottom w:val="none" w:sz="0" w:space="0" w:color="auto"/>
        <w:right w:val="none" w:sz="0" w:space="0" w:color="auto"/>
      </w:divBdr>
    </w:div>
    <w:div w:id="1766850820">
      <w:bodyDiv w:val="1"/>
      <w:marLeft w:val="0"/>
      <w:marRight w:val="0"/>
      <w:marTop w:val="0"/>
      <w:marBottom w:val="0"/>
      <w:divBdr>
        <w:top w:val="none" w:sz="0" w:space="0" w:color="auto"/>
        <w:left w:val="none" w:sz="0" w:space="0" w:color="auto"/>
        <w:bottom w:val="none" w:sz="0" w:space="0" w:color="auto"/>
        <w:right w:val="none" w:sz="0" w:space="0" w:color="auto"/>
      </w:divBdr>
    </w:div>
    <w:div w:id="211905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Waste_framework_directive" TargetMode="External"/><Relationship Id="rId5" Type="http://schemas.openxmlformats.org/officeDocument/2006/relationships/webSettings" Target="webSettings.xml"/><Relationship Id="rId10" Type="http://schemas.openxmlformats.org/officeDocument/2006/relationships/hyperlink" Target="http://eur-lex.europa.eu/legal-content/EN/TXT/?uri=uriserv%3AOJ.L_.2018.156.01.0075.01.ENG"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DDE78-F9F5-4977-AB97-0F5A1293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3185</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SystemHOST Ltd</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Bates</dc:creator>
  <cp:keywords/>
  <dc:description/>
  <cp:lastModifiedBy>Mike Hughes</cp:lastModifiedBy>
  <cp:revision>4</cp:revision>
  <cp:lastPrinted>2019-06-11T08:57:00Z</cp:lastPrinted>
  <dcterms:created xsi:type="dcterms:W3CDTF">2020-05-18T08:17:00Z</dcterms:created>
  <dcterms:modified xsi:type="dcterms:W3CDTF">2020-08-03T14:17:00Z</dcterms:modified>
</cp:coreProperties>
</file>