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4E3DC32"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086D55" w:rsidRPr="00086D55">
        <w:rPr>
          <w:rFonts w:ascii="Gill Sans MT" w:eastAsia="Times New Roman" w:hAnsi="Gill Sans MT" w:cs="Helvetica"/>
          <w:b/>
          <w:color w:val="FF0000"/>
          <w:lang w:eastAsia="en-GB"/>
        </w:rPr>
        <w:t>Application for Planning Permission and for relevant demolition of an unlisted building in a conservation area</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7D1E0EB1" w14:textId="17B5868B" w:rsidR="00A75890" w:rsidRDefault="00825CAB" w:rsidP="00A75890">
      <w:pPr>
        <w:spacing w:after="0" w:line="240" w:lineRule="auto"/>
        <w:rPr>
          <w:rFonts w:ascii="Gill Sans MT" w:eastAsia="Times New Roman" w:hAnsi="Gill Sans MT" w:cs="Helvetica"/>
          <w:b/>
          <w:color w:val="000000"/>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r w:rsidR="00A75890" w:rsidRPr="00A75890">
        <w:rPr>
          <w:rFonts w:ascii="Gill Sans MT" w:eastAsia="Times New Roman" w:hAnsi="Gill Sans MT" w:cs="Helvetica"/>
          <w:b/>
          <w:color w:val="000000"/>
          <w:lang w:eastAsia="en-GB"/>
        </w:rPr>
        <w:t xml:space="preserve"> </w:t>
      </w:r>
    </w:p>
    <w:p w14:paraId="6DC2E1AB" w14:textId="77777777" w:rsidR="00A75890" w:rsidRPr="00457DE9" w:rsidRDefault="00A75890" w:rsidP="00A75890">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A75890" w:rsidRPr="00457DE9" w14:paraId="3748BBD9" w14:textId="77777777" w:rsidTr="00C35C65">
        <w:trPr>
          <w:trHeight w:val="374"/>
        </w:trPr>
        <w:tc>
          <w:tcPr>
            <w:tcW w:w="5000" w:type="pct"/>
            <w:gridSpan w:val="2"/>
            <w:shd w:val="clear" w:color="auto" w:fill="BFBFBF" w:themeFill="background1" w:themeFillShade="BF"/>
            <w:hideMark/>
          </w:tcPr>
          <w:p w14:paraId="0526A9B2" w14:textId="77777777" w:rsidR="00A75890" w:rsidRPr="00372351" w:rsidRDefault="00A75890"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A75890" w:rsidRPr="00703504" w14:paraId="57439FB2" w14:textId="77777777" w:rsidTr="00C35C65">
        <w:tc>
          <w:tcPr>
            <w:tcW w:w="5000" w:type="pct"/>
            <w:gridSpan w:val="2"/>
            <w:shd w:val="clear" w:color="auto" w:fill="EDEDED" w:themeFill="accent3" w:themeFillTint="33"/>
            <w:hideMark/>
          </w:tcPr>
          <w:p w14:paraId="7C5B57C8"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A75890" w:rsidRPr="00703504" w14:paraId="330EC5D0" w14:textId="77777777" w:rsidTr="00C35C65">
        <w:tc>
          <w:tcPr>
            <w:tcW w:w="1434" w:type="pct"/>
          </w:tcPr>
          <w:p w14:paraId="58525C3C"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AA94B34"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7BB6E8D2"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3AC6833F" w14:textId="77777777" w:rsidTr="00C35C65">
        <w:tc>
          <w:tcPr>
            <w:tcW w:w="1434" w:type="pct"/>
          </w:tcPr>
          <w:p w14:paraId="58C78A69"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15D3C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26A803D"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FF46F39" w14:textId="77777777" w:rsidTr="00C35C65">
        <w:tc>
          <w:tcPr>
            <w:tcW w:w="5000" w:type="pct"/>
            <w:gridSpan w:val="2"/>
            <w:shd w:val="clear" w:color="auto" w:fill="EDEDED" w:themeFill="accent3" w:themeFillTint="33"/>
          </w:tcPr>
          <w:p w14:paraId="6CA5CE9E" w14:textId="77777777" w:rsidR="00A75890" w:rsidRPr="009E755E" w:rsidRDefault="00A75890"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A75890" w:rsidRPr="00703504" w14:paraId="508E3142" w14:textId="77777777" w:rsidTr="00C35C65">
        <w:tc>
          <w:tcPr>
            <w:tcW w:w="1434" w:type="pct"/>
          </w:tcPr>
          <w:p w14:paraId="4F5B9FDE"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0F06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9E35058"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34C6BBEF" w14:textId="77777777" w:rsidTr="00C35C65">
        <w:tc>
          <w:tcPr>
            <w:tcW w:w="1434" w:type="pct"/>
          </w:tcPr>
          <w:p w14:paraId="7A04A364"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FD1B2E"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F088442"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5E340DF3" w14:textId="77777777" w:rsidTr="00C35C65">
        <w:tc>
          <w:tcPr>
            <w:tcW w:w="5000" w:type="pct"/>
            <w:gridSpan w:val="2"/>
            <w:shd w:val="clear" w:color="auto" w:fill="EDEDED" w:themeFill="accent3" w:themeFillTint="33"/>
          </w:tcPr>
          <w:p w14:paraId="47247F4A"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A75890" w:rsidRPr="00703504" w14:paraId="2A071052" w14:textId="77777777" w:rsidTr="00C35C65">
        <w:tc>
          <w:tcPr>
            <w:tcW w:w="1434" w:type="pct"/>
          </w:tcPr>
          <w:p w14:paraId="0E081BD7"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20C48B"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C21069A"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0BCF2558" w14:textId="77777777" w:rsidTr="00C35C65">
        <w:tc>
          <w:tcPr>
            <w:tcW w:w="1434" w:type="pct"/>
          </w:tcPr>
          <w:p w14:paraId="6C09F37A"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4CE796B"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014DF82"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bl>
    <w:p w14:paraId="24D84D67" w14:textId="77777777" w:rsidR="00A75890" w:rsidRPr="00703504" w:rsidRDefault="00A75890" w:rsidP="00A7589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75890" w:rsidRPr="00703504" w14:paraId="373A22A9" w14:textId="77777777" w:rsidTr="00C35C65">
        <w:trPr>
          <w:trHeight w:val="343"/>
          <w:tblHeader/>
        </w:trPr>
        <w:tc>
          <w:tcPr>
            <w:tcW w:w="5000" w:type="pct"/>
            <w:gridSpan w:val="2"/>
            <w:shd w:val="clear" w:color="auto" w:fill="BFBFBF" w:themeFill="background1" w:themeFillShade="BF"/>
            <w:hideMark/>
          </w:tcPr>
          <w:p w14:paraId="191E373F" w14:textId="77777777" w:rsidR="00A75890" w:rsidRPr="00703504" w:rsidRDefault="00A7589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75890" w:rsidRPr="00703504" w14:paraId="471C0915" w14:textId="77777777" w:rsidTr="00C35C65">
        <w:tc>
          <w:tcPr>
            <w:tcW w:w="5000" w:type="pct"/>
            <w:gridSpan w:val="2"/>
            <w:shd w:val="clear" w:color="auto" w:fill="EDEDED" w:themeFill="accent3" w:themeFillTint="33"/>
          </w:tcPr>
          <w:p w14:paraId="4C507EC4"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A75890" w:rsidRPr="00703504" w14:paraId="58DDAF1F" w14:textId="77777777" w:rsidTr="00C35C65">
        <w:tc>
          <w:tcPr>
            <w:tcW w:w="1434" w:type="pct"/>
          </w:tcPr>
          <w:p w14:paraId="19954957"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F2B58DD"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CFCC9FD"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064ABB41" w14:textId="77777777" w:rsidTr="00C35C65">
        <w:tc>
          <w:tcPr>
            <w:tcW w:w="1434" w:type="pct"/>
          </w:tcPr>
          <w:p w14:paraId="4B942BA7"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5B7505"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5A50201"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6A9EEE2B" w14:textId="77777777" w:rsidTr="00C35C65">
        <w:tc>
          <w:tcPr>
            <w:tcW w:w="5000" w:type="pct"/>
            <w:gridSpan w:val="2"/>
            <w:shd w:val="clear" w:color="auto" w:fill="EDEDED" w:themeFill="accent3" w:themeFillTint="33"/>
          </w:tcPr>
          <w:p w14:paraId="7BFE6CC0"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A75890" w:rsidRPr="00703504" w14:paraId="6BE20981" w14:textId="77777777" w:rsidTr="00C35C65">
        <w:tc>
          <w:tcPr>
            <w:tcW w:w="1434" w:type="pct"/>
          </w:tcPr>
          <w:p w14:paraId="6E23E187"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18FE62F"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87E99E0"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7EC1C222" w14:textId="77777777" w:rsidTr="00C35C65">
        <w:tc>
          <w:tcPr>
            <w:tcW w:w="1434" w:type="pct"/>
          </w:tcPr>
          <w:p w14:paraId="59937F9D"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939DA7"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C13CD8F"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70F37F81" w14:textId="77777777" w:rsidTr="00C35C65">
        <w:tc>
          <w:tcPr>
            <w:tcW w:w="5000" w:type="pct"/>
            <w:gridSpan w:val="2"/>
            <w:shd w:val="clear" w:color="auto" w:fill="EDEDED" w:themeFill="accent3" w:themeFillTint="33"/>
          </w:tcPr>
          <w:p w14:paraId="6A4194B9"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A75890" w:rsidRPr="00703504" w14:paraId="1E5752B0" w14:textId="77777777" w:rsidTr="00C35C65">
        <w:tc>
          <w:tcPr>
            <w:tcW w:w="1434" w:type="pct"/>
          </w:tcPr>
          <w:p w14:paraId="486F7332"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A31E6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AD23C11"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6A5EDD0C" w14:textId="77777777" w:rsidTr="00C35C65">
        <w:tc>
          <w:tcPr>
            <w:tcW w:w="1434" w:type="pct"/>
          </w:tcPr>
          <w:p w14:paraId="170BDCD1"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D22FE3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27F57FB"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0ECBC7E4" w14:textId="77777777" w:rsidTr="00C35C65">
        <w:tc>
          <w:tcPr>
            <w:tcW w:w="5000" w:type="pct"/>
            <w:gridSpan w:val="2"/>
            <w:shd w:val="clear" w:color="auto" w:fill="EDEDED" w:themeFill="accent3" w:themeFillTint="33"/>
          </w:tcPr>
          <w:p w14:paraId="5452FD49"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A75890" w:rsidRPr="00703504" w14:paraId="7B72440F" w14:textId="77777777" w:rsidTr="00C35C65">
        <w:tc>
          <w:tcPr>
            <w:tcW w:w="1434" w:type="pct"/>
          </w:tcPr>
          <w:p w14:paraId="3AC03EA9"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30A226"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0C973F4"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CBA8EB9" w14:textId="77777777" w:rsidTr="00C35C65">
        <w:tc>
          <w:tcPr>
            <w:tcW w:w="1434" w:type="pct"/>
          </w:tcPr>
          <w:p w14:paraId="69A9ED5B"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703AA4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2A8470D"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bl>
    <w:p w14:paraId="0C021040" w14:textId="77777777" w:rsidR="00A75890" w:rsidRPr="00703504" w:rsidRDefault="00A75890" w:rsidP="00A7589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75890" w:rsidRPr="00703504" w14:paraId="22BDB97D" w14:textId="77777777" w:rsidTr="00C35C65">
        <w:trPr>
          <w:trHeight w:val="352"/>
          <w:tblHeader/>
        </w:trPr>
        <w:tc>
          <w:tcPr>
            <w:tcW w:w="5000" w:type="pct"/>
            <w:gridSpan w:val="2"/>
            <w:shd w:val="clear" w:color="auto" w:fill="BFBFBF" w:themeFill="background1" w:themeFillShade="BF"/>
            <w:hideMark/>
          </w:tcPr>
          <w:p w14:paraId="46360DD7" w14:textId="77777777" w:rsidR="00A75890" w:rsidRPr="00703504" w:rsidRDefault="00A7589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75890" w:rsidRPr="00703504" w14:paraId="02252E5C" w14:textId="77777777" w:rsidTr="00C35C65">
        <w:tc>
          <w:tcPr>
            <w:tcW w:w="5000" w:type="pct"/>
            <w:gridSpan w:val="2"/>
            <w:shd w:val="clear" w:color="auto" w:fill="EDEDED" w:themeFill="accent3" w:themeFillTint="33"/>
          </w:tcPr>
          <w:p w14:paraId="6381B5B8"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A75890" w:rsidRPr="00703504" w14:paraId="0A8A0E31" w14:textId="77777777" w:rsidTr="00C35C65">
        <w:tc>
          <w:tcPr>
            <w:tcW w:w="1434" w:type="pct"/>
          </w:tcPr>
          <w:p w14:paraId="67704314"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8CA574B"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583C0D8"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66B857CF" w14:textId="77777777" w:rsidTr="00C35C65">
        <w:tc>
          <w:tcPr>
            <w:tcW w:w="1434" w:type="pct"/>
          </w:tcPr>
          <w:p w14:paraId="6D4F1A9B"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BC9DFA"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505486C"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90EF544" w14:textId="77777777" w:rsidTr="00C35C65">
        <w:tc>
          <w:tcPr>
            <w:tcW w:w="5000" w:type="pct"/>
            <w:gridSpan w:val="2"/>
            <w:shd w:val="clear" w:color="auto" w:fill="EDEDED" w:themeFill="accent3" w:themeFillTint="33"/>
          </w:tcPr>
          <w:p w14:paraId="490D94B6" w14:textId="77777777" w:rsidR="00A75890" w:rsidRPr="00703504" w:rsidRDefault="00A7589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A75890" w:rsidRPr="00703504" w14:paraId="0F765309" w14:textId="77777777" w:rsidTr="00C35C65">
        <w:tc>
          <w:tcPr>
            <w:tcW w:w="1434" w:type="pct"/>
          </w:tcPr>
          <w:p w14:paraId="3DE401CD"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25F5FA"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5A763A"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3E600C2D" w14:textId="77777777" w:rsidTr="00C35C65">
        <w:tc>
          <w:tcPr>
            <w:tcW w:w="1434" w:type="pct"/>
          </w:tcPr>
          <w:p w14:paraId="495C2A14"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728BD"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672D4F1"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D0269E6" w14:textId="77777777" w:rsidTr="00C35C65">
        <w:tc>
          <w:tcPr>
            <w:tcW w:w="5000" w:type="pct"/>
            <w:gridSpan w:val="2"/>
            <w:shd w:val="clear" w:color="auto" w:fill="EDEDED" w:themeFill="accent3" w:themeFillTint="33"/>
          </w:tcPr>
          <w:p w14:paraId="05BFE009"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A75890" w:rsidRPr="00703504" w14:paraId="3C8FF7C3" w14:textId="77777777" w:rsidTr="00C35C65">
        <w:tc>
          <w:tcPr>
            <w:tcW w:w="1434" w:type="pct"/>
          </w:tcPr>
          <w:p w14:paraId="50A571F9"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1239FE"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447ABA0"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733C2D7" w14:textId="77777777" w:rsidTr="00C35C65">
        <w:tc>
          <w:tcPr>
            <w:tcW w:w="1434" w:type="pct"/>
          </w:tcPr>
          <w:p w14:paraId="7A20B71F"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41E24CF"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376FF7A"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6219CC74" w14:textId="77777777" w:rsidTr="00C35C65">
        <w:tc>
          <w:tcPr>
            <w:tcW w:w="5000" w:type="pct"/>
            <w:gridSpan w:val="2"/>
            <w:shd w:val="clear" w:color="auto" w:fill="EDEDED" w:themeFill="accent3" w:themeFillTint="33"/>
          </w:tcPr>
          <w:p w14:paraId="07C66B94"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A75890" w:rsidRPr="00703504" w14:paraId="42DC5476" w14:textId="77777777" w:rsidTr="00C35C65">
        <w:tc>
          <w:tcPr>
            <w:tcW w:w="1434" w:type="pct"/>
          </w:tcPr>
          <w:p w14:paraId="12C5671E"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11AFBB"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38F7DDC"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35254C77" w14:textId="77777777" w:rsidTr="00C35C65">
        <w:tc>
          <w:tcPr>
            <w:tcW w:w="1434" w:type="pct"/>
          </w:tcPr>
          <w:p w14:paraId="19A11028"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F5877A"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05B2EF5"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bl>
    <w:p w14:paraId="72F33470" w14:textId="77777777" w:rsidR="00A75890" w:rsidRPr="00703504" w:rsidRDefault="00A75890" w:rsidP="00A7589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75890" w:rsidRPr="00703504" w14:paraId="7AA3DD06" w14:textId="77777777" w:rsidTr="00C35C65">
        <w:trPr>
          <w:trHeight w:val="352"/>
          <w:tblHeader/>
        </w:trPr>
        <w:tc>
          <w:tcPr>
            <w:tcW w:w="5000" w:type="pct"/>
            <w:gridSpan w:val="2"/>
            <w:shd w:val="clear" w:color="auto" w:fill="BFBFBF" w:themeFill="background1" w:themeFillShade="BF"/>
            <w:hideMark/>
          </w:tcPr>
          <w:p w14:paraId="772FAA44" w14:textId="77777777" w:rsidR="00A75890" w:rsidRPr="00703504" w:rsidRDefault="00A7589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75890" w:rsidRPr="00703504" w14:paraId="25ADA4E7" w14:textId="77777777" w:rsidTr="00C35C65">
        <w:tc>
          <w:tcPr>
            <w:tcW w:w="5000" w:type="pct"/>
            <w:gridSpan w:val="2"/>
            <w:shd w:val="clear" w:color="auto" w:fill="EDEDED" w:themeFill="accent3" w:themeFillTint="33"/>
          </w:tcPr>
          <w:p w14:paraId="7B6325CA"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A75890" w:rsidRPr="00703504" w14:paraId="5C627E47" w14:textId="77777777" w:rsidTr="00C35C65">
        <w:tc>
          <w:tcPr>
            <w:tcW w:w="1434" w:type="pct"/>
          </w:tcPr>
          <w:p w14:paraId="119C08C3"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A08E853"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2C57692"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2BEAFD66" w14:textId="77777777" w:rsidTr="00C35C65">
        <w:tc>
          <w:tcPr>
            <w:tcW w:w="1434" w:type="pct"/>
          </w:tcPr>
          <w:p w14:paraId="49934F52"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356DB5A"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629C804"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58C94F63" w14:textId="77777777" w:rsidTr="00C35C65">
        <w:tc>
          <w:tcPr>
            <w:tcW w:w="5000" w:type="pct"/>
            <w:gridSpan w:val="2"/>
            <w:shd w:val="clear" w:color="auto" w:fill="EDEDED" w:themeFill="accent3" w:themeFillTint="33"/>
          </w:tcPr>
          <w:p w14:paraId="7107F184" w14:textId="77777777" w:rsidR="00A75890" w:rsidRPr="00703504" w:rsidRDefault="00A75890"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A75890" w:rsidRPr="00703504" w14:paraId="1F2DC559" w14:textId="77777777" w:rsidTr="00C35C65">
        <w:tc>
          <w:tcPr>
            <w:tcW w:w="1434" w:type="pct"/>
          </w:tcPr>
          <w:p w14:paraId="3DF75B50"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76D770"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B33D98D"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59994DFE" w14:textId="77777777" w:rsidTr="00C35C65">
        <w:tc>
          <w:tcPr>
            <w:tcW w:w="1434" w:type="pct"/>
          </w:tcPr>
          <w:p w14:paraId="39F8B9FB"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6039313"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22DFEEB"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5B13C165" w14:textId="77777777" w:rsidTr="00C35C65">
        <w:tc>
          <w:tcPr>
            <w:tcW w:w="5000" w:type="pct"/>
            <w:gridSpan w:val="2"/>
            <w:shd w:val="clear" w:color="auto" w:fill="EDEDED" w:themeFill="accent3" w:themeFillTint="33"/>
          </w:tcPr>
          <w:p w14:paraId="6951F432"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081203B9" w14:textId="77777777" w:rsidR="00A75890" w:rsidRPr="00703504" w:rsidRDefault="00A75890"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362596B7" w14:textId="77777777" w:rsidR="00A75890" w:rsidRPr="00703504" w:rsidRDefault="00825CAB" w:rsidP="00C35C65">
            <w:pPr>
              <w:rPr>
                <w:rFonts w:ascii="Gill Sans MT" w:hAnsi="Gill Sans MT"/>
                <w:b/>
                <w:color w:val="000000"/>
                <w:sz w:val="20"/>
                <w:szCs w:val="20"/>
              </w:rPr>
            </w:pPr>
            <w:hyperlink r:id="rId10" w:history="1">
              <w:r w:rsidR="00A75890" w:rsidRPr="00703504">
                <w:rPr>
                  <w:rStyle w:val="Hyperlink"/>
                  <w:rFonts w:ascii="Gill Sans MT" w:hAnsi="Gill Sans MT"/>
                  <w:b/>
                  <w:sz w:val="20"/>
                  <w:szCs w:val="20"/>
                </w:rPr>
                <w:t>https://www.gov.uk/guidance/fees-for-planning-applications</w:t>
              </w:r>
            </w:hyperlink>
            <w:r w:rsidR="00A75890" w:rsidRPr="00703504">
              <w:rPr>
                <w:rFonts w:ascii="Gill Sans MT" w:hAnsi="Gill Sans MT"/>
                <w:b/>
                <w:color w:val="000000"/>
                <w:sz w:val="20"/>
                <w:szCs w:val="20"/>
              </w:rPr>
              <w:t xml:space="preserve"> </w:t>
            </w:r>
          </w:p>
        </w:tc>
      </w:tr>
      <w:tr w:rsidR="00A75890" w:rsidRPr="00703504" w14:paraId="5033C440" w14:textId="77777777" w:rsidTr="00C35C65">
        <w:tc>
          <w:tcPr>
            <w:tcW w:w="1434" w:type="pct"/>
          </w:tcPr>
          <w:p w14:paraId="1FEF3482"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6BE1986"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5E5E94B"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5B7F299F" w14:textId="77777777" w:rsidTr="00C35C65">
        <w:tc>
          <w:tcPr>
            <w:tcW w:w="1434" w:type="pct"/>
          </w:tcPr>
          <w:p w14:paraId="6CFCBB91"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6B48E3B" w14:textId="77777777" w:rsidR="00A75890" w:rsidRPr="00703504" w:rsidRDefault="00A7589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7C13E48"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bl>
    <w:p w14:paraId="386C8DF5" w14:textId="77777777" w:rsidR="00A75890" w:rsidRDefault="00A75890" w:rsidP="00A75890">
      <w:pPr>
        <w:rPr>
          <w:sz w:val="20"/>
          <w:szCs w:val="20"/>
        </w:rPr>
      </w:pPr>
    </w:p>
    <w:p w14:paraId="378EB7A3" w14:textId="77777777" w:rsidR="00A75890" w:rsidRDefault="00A75890" w:rsidP="00A75890">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75890" w:rsidRPr="00703504" w14:paraId="0346FC0A" w14:textId="77777777" w:rsidTr="00C35C65">
        <w:tc>
          <w:tcPr>
            <w:tcW w:w="5000" w:type="pct"/>
            <w:gridSpan w:val="2"/>
            <w:shd w:val="clear" w:color="auto" w:fill="BFBFBF" w:themeFill="background1" w:themeFillShade="BF"/>
          </w:tcPr>
          <w:p w14:paraId="7927B490" w14:textId="77777777" w:rsidR="00A75890" w:rsidRPr="00703504" w:rsidRDefault="00A7589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A75890" w:rsidRPr="00703504" w14:paraId="12608876" w14:textId="77777777" w:rsidTr="00C35C65">
        <w:trPr>
          <w:trHeight w:val="1283"/>
        </w:trPr>
        <w:tc>
          <w:tcPr>
            <w:tcW w:w="5000" w:type="pct"/>
            <w:gridSpan w:val="2"/>
            <w:shd w:val="clear" w:color="auto" w:fill="EDEDED" w:themeFill="accent3" w:themeFillTint="33"/>
          </w:tcPr>
          <w:p w14:paraId="553FCBB2" w14:textId="77777777" w:rsidR="00A75890" w:rsidRPr="00703504" w:rsidRDefault="00A75890"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0B76511F" w14:textId="77777777" w:rsidR="00A75890" w:rsidRPr="00703504" w:rsidRDefault="00A75890" w:rsidP="00A75890">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5512DA7E" w14:textId="77777777" w:rsidR="00A75890" w:rsidRPr="00703504" w:rsidRDefault="00A75890" w:rsidP="00A75890">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4F54F182" w14:textId="77777777" w:rsidR="00A75890" w:rsidRPr="00703504" w:rsidRDefault="00A75890" w:rsidP="00A75890">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 building or buildings with a floor space of 100 square metres or more.</w:t>
            </w:r>
          </w:p>
          <w:p w14:paraId="08C1EAFC" w14:textId="77777777" w:rsidR="00A75890" w:rsidRPr="00703504" w:rsidRDefault="00A75890" w:rsidP="00A75890">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A75890" w:rsidRPr="00703504" w14:paraId="7AF5D49B" w14:textId="77777777" w:rsidTr="00C35C65">
        <w:tc>
          <w:tcPr>
            <w:tcW w:w="1434" w:type="pct"/>
          </w:tcPr>
          <w:p w14:paraId="1C5FD237"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3103610"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FF6D27D"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r w:rsidR="00A75890" w:rsidRPr="00703504" w14:paraId="4AAADB8D" w14:textId="77777777" w:rsidTr="00C35C65">
        <w:tc>
          <w:tcPr>
            <w:tcW w:w="1434" w:type="pct"/>
          </w:tcPr>
          <w:p w14:paraId="43EA3E49" w14:textId="77777777" w:rsidR="00A75890" w:rsidRPr="00703504" w:rsidRDefault="00A7589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6459A7" w14:textId="77777777" w:rsidR="00A75890" w:rsidRPr="00703504" w:rsidRDefault="00A7589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0D01B10" w14:textId="77777777" w:rsidR="00A75890" w:rsidRPr="00703504" w:rsidRDefault="00A75890" w:rsidP="00C35C65">
            <w:pPr>
              <w:numPr>
                <w:ilvl w:val="0"/>
                <w:numId w:val="1"/>
              </w:numPr>
              <w:ind w:left="0"/>
              <w:rPr>
                <w:rFonts w:ascii="Gill Sans MT" w:eastAsia="Times New Roman" w:hAnsi="Gill Sans MT" w:cs="Helvetica"/>
                <w:color w:val="000000"/>
                <w:sz w:val="20"/>
                <w:szCs w:val="20"/>
                <w:lang w:eastAsia="en-GB"/>
              </w:rPr>
            </w:pPr>
          </w:p>
        </w:tc>
      </w:tr>
    </w:tbl>
    <w:p w14:paraId="65B1FD5F" w14:textId="5044DEA4" w:rsidR="002C1D67" w:rsidRDefault="002C1D67" w:rsidP="00A75890">
      <w:pPr>
        <w:spacing w:after="0" w:line="240" w:lineRule="auto"/>
        <w:rPr>
          <w:rFonts w:ascii="Gill Sans MT" w:eastAsia="Times New Roman" w:hAnsi="Gill Sans MT" w:cs="Helvetica"/>
          <w:b/>
          <w:color w:val="000000"/>
          <w:lang w:eastAsia="en-GB"/>
        </w:rPr>
      </w:pPr>
    </w:p>
    <w:p w14:paraId="7DB5263E" w14:textId="77777777" w:rsidR="002C1D67" w:rsidRDefault="002C1D67">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785205CB"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825CAB" w14:paraId="7D79BC89" w14:textId="77777777" w:rsidTr="00825CAB">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C32594" w14:textId="77777777" w:rsidR="00825CAB" w:rsidRDefault="00825CAB">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5485766E" w14:textId="77777777" w:rsidR="00825CAB" w:rsidRDefault="00825CAB" w:rsidP="00825CAB">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1F1D47BC" w14:textId="77777777" w:rsidR="00825CAB" w:rsidRDefault="00825CAB" w:rsidP="00825CAB">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4155AEBE" w14:textId="77777777" w:rsidR="00825CAB" w:rsidRDefault="00825CAB" w:rsidP="00825CAB">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0F1D98C0" w14:textId="77777777" w:rsidR="00825CAB" w:rsidRDefault="00825CAB" w:rsidP="00825CAB">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825CAB" w14:paraId="02267588" w14:textId="77777777" w:rsidTr="00825CA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2DC37" w14:textId="77777777" w:rsidR="00825CAB" w:rsidRDefault="00825CA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1A06FAFB" w14:textId="77777777" w:rsidR="00825CAB" w:rsidRDefault="00825CA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18D73039" w14:textId="77777777" w:rsidR="00825CAB" w:rsidRDefault="00825CAB">
            <w:pPr>
              <w:rPr>
                <w:rFonts w:ascii="Gill Sans MT" w:eastAsia="Times New Roman" w:hAnsi="Gill Sans MT" w:cs="Helvetica"/>
                <w:i/>
                <w:color w:val="000000"/>
                <w:sz w:val="20"/>
                <w:szCs w:val="20"/>
                <w:lang w:eastAsia="en-GB"/>
              </w:rPr>
            </w:pPr>
          </w:p>
          <w:p w14:paraId="1261C7A9" w14:textId="77777777" w:rsidR="00825CAB" w:rsidRDefault="00825CAB">
            <w:pPr>
              <w:rPr>
                <w:rFonts w:ascii="Gill Sans MT" w:eastAsia="Times New Roman" w:hAnsi="Gill Sans MT" w:cs="Helvetica"/>
                <w:i/>
                <w:color w:val="000000"/>
                <w:sz w:val="20"/>
                <w:szCs w:val="20"/>
                <w:lang w:eastAsia="en-GB"/>
              </w:rPr>
            </w:pPr>
          </w:p>
          <w:p w14:paraId="4C3566C6" w14:textId="77777777" w:rsidR="00825CAB" w:rsidRDefault="00825CAB">
            <w:pPr>
              <w:rPr>
                <w:rFonts w:ascii="Gill Sans MT" w:eastAsia="Times New Roman" w:hAnsi="Gill Sans MT" w:cs="Helvetica"/>
                <w:i/>
                <w:color w:val="000000"/>
                <w:sz w:val="20"/>
                <w:szCs w:val="20"/>
                <w:lang w:eastAsia="en-GB"/>
              </w:rPr>
            </w:pPr>
          </w:p>
          <w:p w14:paraId="37B4A59A" w14:textId="77777777" w:rsidR="00825CAB" w:rsidRDefault="00825CA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DF76" w14:textId="77777777" w:rsidR="00825CAB" w:rsidRDefault="00825CAB" w:rsidP="00825CAB">
            <w:pPr>
              <w:numPr>
                <w:ilvl w:val="0"/>
                <w:numId w:val="11"/>
              </w:numPr>
              <w:ind w:left="0"/>
              <w:rPr>
                <w:rFonts w:ascii="Gill Sans MT" w:eastAsia="Times New Roman" w:hAnsi="Gill Sans MT" w:cs="Helvetica"/>
                <w:color w:val="000000"/>
                <w:sz w:val="20"/>
                <w:szCs w:val="20"/>
                <w:lang w:eastAsia="en-GB"/>
              </w:rPr>
            </w:pPr>
          </w:p>
        </w:tc>
      </w:tr>
      <w:tr w:rsidR="00825CAB" w14:paraId="724EE160" w14:textId="77777777" w:rsidTr="00825CA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796B5" w14:textId="77777777" w:rsidR="00825CAB" w:rsidRDefault="00825CA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3EDD6F5B" w14:textId="77777777" w:rsidR="00825CAB" w:rsidRDefault="00825CA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5005B91E" w14:textId="77777777" w:rsidR="00825CAB" w:rsidRDefault="00825CAB">
            <w:pPr>
              <w:rPr>
                <w:rFonts w:ascii="Gill Sans MT" w:eastAsia="Times New Roman" w:hAnsi="Gill Sans MT" w:cs="Helvetica"/>
                <w:i/>
                <w:color w:val="000000"/>
                <w:sz w:val="20"/>
                <w:szCs w:val="20"/>
                <w:lang w:eastAsia="en-GB"/>
              </w:rPr>
            </w:pPr>
          </w:p>
          <w:p w14:paraId="069BA38C" w14:textId="77777777" w:rsidR="00825CAB" w:rsidRDefault="00825CAB">
            <w:pPr>
              <w:rPr>
                <w:rFonts w:ascii="Gill Sans MT" w:eastAsia="Times New Roman" w:hAnsi="Gill Sans MT" w:cs="Helvetica"/>
                <w:i/>
                <w:color w:val="000000"/>
                <w:sz w:val="20"/>
                <w:szCs w:val="20"/>
                <w:lang w:eastAsia="en-GB"/>
              </w:rPr>
            </w:pPr>
          </w:p>
          <w:p w14:paraId="1BDDD7B3" w14:textId="77777777" w:rsidR="00825CAB" w:rsidRDefault="00825CAB">
            <w:pPr>
              <w:rPr>
                <w:rFonts w:ascii="Gill Sans MT" w:eastAsia="Times New Roman" w:hAnsi="Gill Sans MT" w:cs="Helvetica"/>
                <w:i/>
                <w:color w:val="000000"/>
                <w:sz w:val="20"/>
                <w:szCs w:val="20"/>
                <w:lang w:eastAsia="en-GB"/>
              </w:rPr>
            </w:pPr>
          </w:p>
          <w:p w14:paraId="28A8BD74" w14:textId="77777777" w:rsidR="00825CAB" w:rsidRDefault="00825CA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8D34B" w14:textId="77777777" w:rsidR="00825CAB" w:rsidRDefault="00825CAB" w:rsidP="00825CAB">
            <w:pPr>
              <w:numPr>
                <w:ilvl w:val="0"/>
                <w:numId w:val="11"/>
              </w:numPr>
              <w:ind w:left="0"/>
              <w:rPr>
                <w:rFonts w:ascii="Gill Sans MT" w:eastAsia="Times New Roman" w:hAnsi="Gill Sans MT" w:cs="Helvetica"/>
                <w:color w:val="000000"/>
                <w:sz w:val="20"/>
                <w:szCs w:val="20"/>
                <w:lang w:eastAsia="en-GB"/>
              </w:rPr>
            </w:pPr>
          </w:p>
        </w:tc>
      </w:tr>
    </w:tbl>
    <w:p w14:paraId="71104BBE" w14:textId="77777777" w:rsidR="00825CAB" w:rsidRPr="00703504" w:rsidRDefault="00825CAB" w:rsidP="00C43D72">
      <w:pPr>
        <w:spacing w:line="240" w:lineRule="auto"/>
        <w:rPr>
          <w:rFonts w:ascii="Gill Sans MT" w:eastAsia="Times New Roman" w:hAnsi="Gill Sans MT" w:cs="Helvetica"/>
          <w:b/>
          <w:i/>
          <w:color w:val="000000"/>
          <w:lang w:eastAsia="en-GB"/>
        </w:rPr>
      </w:pPr>
      <w:bookmarkStart w:id="0" w:name="_GoBack"/>
      <w:bookmarkEnd w:id="0"/>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Annex 1, para 5, page 4  And Annex 2, para 15, page 11 of the ODPM/DfT </w:t>
            </w:r>
          </w:p>
          <w:p w14:paraId="11BF81A6" w14:textId="77777777" w:rsidR="00D541A6" w:rsidRPr="00703504" w:rsidRDefault="00825CAB"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825CAB"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825CAB"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825CAB"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825CAB"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825CAB"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825CAB"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825CAB"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825CAB"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825CAB"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825CAB"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(Amec 2017)</w:t>
              </w:r>
            </w:hyperlink>
            <w:r w:rsidR="00D541A6" w:rsidRPr="00703504">
              <w:rPr>
                <w:rFonts w:ascii="Gill Sans MT" w:hAnsi="Gill Sans MT"/>
                <w:sz w:val="20"/>
                <w:szCs w:val="20"/>
              </w:rPr>
              <w:t xml:space="preserve">  (Opens PDF)</w:t>
            </w:r>
          </w:p>
          <w:p w14:paraId="7943321B" w14:textId="77777777" w:rsidR="00D541A6" w:rsidRPr="00703504" w:rsidRDefault="00825CAB"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825CAB"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825CAB"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825CAB"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825CAB"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All applications within 6.5km or 12km of Mens, Ebernoe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Langstone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825CAB"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825CAB"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825CAB"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825CAB"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825CAB"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825CAB"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825CAB"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825CAB"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825CAB"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825CAB"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825CAB"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SD47: Local Green Spaces (&amp; Explanatory text 7.264-7.265)</w:t>
            </w:r>
          </w:p>
          <w:p w14:paraId="131E42BC"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825CAB"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825CAB"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825CAB"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825CAB"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Retail development outside of the defined Market Town and Larger Village Centre boundaries but within settlement policy boundaries where the proposal exceeds 750 sq m floorspace (Market Town) or 500 sq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sq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825CAB"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825CAB"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The SuDS Manual: Ciria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825CAB"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(Amec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825CAB"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825CAB"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825CAB"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825CAB"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825CAB"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825CAB"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825CAB"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76"/>
      <w:headerReference w:type="default" r:id="rId77"/>
      <w:footerReference w:type="even" r:id="rId78"/>
      <w:footerReference w:type="default" r:id="rId79"/>
      <w:headerReference w:type="first" r:id="rId80"/>
      <w:footerReference w:type="first" r:id="rId8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0E955" w14:textId="77777777" w:rsidR="00086D55" w:rsidRDefault="00086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086D55"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_7</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825CAB">
              <w:rPr>
                <w:b/>
                <w:bCs/>
                <w:noProof/>
              </w:rPr>
              <w:t>5</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825CAB">
              <w:rPr>
                <w:b/>
                <w:bCs/>
                <w:noProof/>
              </w:rPr>
              <w:t>20</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AB8A" w14:textId="77777777" w:rsidR="00086D55" w:rsidRDefault="00086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8B02C" w14:textId="77777777" w:rsidR="00086D55" w:rsidRDefault="00086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10DF" w14:textId="77777777" w:rsidR="00086D55" w:rsidRDefault="00086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F8C3" w14:textId="77777777" w:rsidR="00086D55" w:rsidRDefault="0008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86D5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C1D67"/>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25CAB"/>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7589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B7B55"/>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862696607">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national-planning-policy-framework--2" TargetMode="External"/><Relationship Id="rId82" Type="http://schemas.openxmlformats.org/officeDocument/2006/relationships/fontTable" Target="fontTable.xm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header" Target="header2.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651A-2719-4C00-A0FD-67003E22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CE8FC09E</Template>
  <TotalTime>4</TotalTime>
  <Pages>20</Pages>
  <Words>6757</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6</cp:revision>
  <cp:lastPrinted>2018-10-09T16:42:00Z</cp:lastPrinted>
  <dcterms:created xsi:type="dcterms:W3CDTF">2019-06-27T12:48:00Z</dcterms:created>
  <dcterms:modified xsi:type="dcterms:W3CDTF">2019-06-27T19:18:00Z</dcterms:modified>
</cp:coreProperties>
</file>