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C74FA" w14:textId="77777777" w:rsidR="00F34395" w:rsidRDefault="00F34395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14.04.2026</w:t>
      </w:r>
    </w:p>
    <w:p w14:paraId="58E04800" w14:textId="77777777" w:rsidR="00F34395" w:rsidRDefault="00F34395">
      <w:pPr>
        <w:rPr>
          <w:sz w:val="22"/>
          <w:szCs w:val="24"/>
        </w:rPr>
      </w:pPr>
    </w:p>
    <w:p w14:paraId="2F371626" w14:textId="77777777" w:rsidR="00F34395" w:rsidRDefault="00F34395">
      <w:pPr>
        <w:rPr>
          <w:rFonts w:cs="Calibri"/>
          <w:sz w:val="22"/>
          <w:szCs w:val="24"/>
        </w:rPr>
      </w:pPr>
    </w:p>
    <w:p w14:paraId="6F596F31" w14:textId="77777777" w:rsidR="00F34395" w:rsidRDefault="00F34395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SDNP/26/01323/DCOND</w:t>
      </w:r>
    </w:p>
    <w:p w14:paraId="550B9E44" w14:textId="77777777" w:rsidR="00F34395" w:rsidRDefault="00F34395">
      <w:pPr>
        <w:rPr>
          <w:sz w:val="22"/>
          <w:szCs w:val="24"/>
        </w:rPr>
      </w:pPr>
    </w:p>
    <w:p w14:paraId="39C36D19" w14:textId="77777777" w:rsidR="00F34395" w:rsidRDefault="00F34395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Conditions 8 (Soft Landscaping), 14 (Dewatering and Groundwater), 17 (Earthworks Details) and 19 (Hard Landscaping) for SDNP/21/02342/FUL.</w:t>
      </w:r>
    </w:p>
    <w:p w14:paraId="193D1C1F" w14:textId="77777777" w:rsidR="00F34395" w:rsidRDefault="00F34395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586C820A" w14:textId="77777777" w:rsidR="00F34395" w:rsidRDefault="00F34395">
      <w:pPr>
        <w:rPr>
          <w:sz w:val="22"/>
          <w:szCs w:val="24"/>
        </w:rPr>
      </w:pPr>
      <w:proofErr w:type="spellStart"/>
      <w:r>
        <w:rPr>
          <w:rFonts w:cs="Calibri"/>
          <w:sz w:val="22"/>
          <w:szCs w:val="24"/>
        </w:rPr>
        <w:t>Exceat</w:t>
      </w:r>
      <w:proofErr w:type="spellEnd"/>
      <w:r>
        <w:rPr>
          <w:rFonts w:cs="Calibri"/>
          <w:sz w:val="22"/>
          <w:szCs w:val="24"/>
        </w:rPr>
        <w:t xml:space="preserve"> Bridge, Eastbourne Road, </w:t>
      </w:r>
      <w:proofErr w:type="spellStart"/>
      <w:r>
        <w:rPr>
          <w:rFonts w:cs="Calibri"/>
          <w:sz w:val="22"/>
          <w:szCs w:val="24"/>
        </w:rPr>
        <w:t>Exceat</w:t>
      </w:r>
      <w:proofErr w:type="spellEnd"/>
      <w:r>
        <w:rPr>
          <w:rFonts w:cs="Calibri"/>
          <w:sz w:val="22"/>
          <w:szCs w:val="24"/>
        </w:rPr>
        <w:t>, East Sussex</w:t>
      </w:r>
    </w:p>
    <w:p w14:paraId="55C59CFD" w14:textId="77777777" w:rsidR="00F34395" w:rsidRDefault="00F34395">
      <w:pPr>
        <w:rPr>
          <w:rFonts w:cs="Calibri"/>
          <w:sz w:val="22"/>
          <w:szCs w:val="24"/>
        </w:rPr>
      </w:pPr>
    </w:p>
    <w:p w14:paraId="19246A35" w14:textId="77777777" w:rsidR="00F34395" w:rsidRDefault="00F34395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7 April 2026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14 April 2026No call in required. </w:t>
      </w:r>
    </w:p>
    <w:p w14:paraId="250B33FE" w14:textId="77777777" w:rsidR="00F34395" w:rsidRDefault="00F34395">
      <w:pPr>
        <w:rPr>
          <w:rFonts w:cs="Calibri"/>
          <w:sz w:val="22"/>
          <w:szCs w:val="24"/>
        </w:rPr>
      </w:pPr>
    </w:p>
    <w:p w14:paraId="39D66EB7" w14:textId="77777777" w:rsidR="00F34395" w:rsidRDefault="00F34395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72623B58" w14:textId="77777777" w:rsidR="00F34395" w:rsidRDefault="00F34395">
      <w:pPr>
        <w:rPr>
          <w:rFonts w:cs="Calibri"/>
          <w:sz w:val="22"/>
          <w:szCs w:val="24"/>
        </w:rPr>
      </w:pPr>
    </w:p>
    <w:p w14:paraId="3D8B8925" w14:textId="77777777" w:rsidR="00F34395" w:rsidRDefault="00F34395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View the case on public access</w:t>
      </w:r>
    </w:p>
    <w:p w14:paraId="2D1912C1" w14:textId="77777777" w:rsidR="00F34395" w:rsidRDefault="00F34395">
      <w:pPr>
        <w:rPr>
          <w:sz w:val="22"/>
          <w:szCs w:val="24"/>
        </w:rPr>
      </w:pPr>
      <w:hyperlink r:id="rId7" w:history="1">
        <w:r>
          <w:rPr>
            <w:rStyle w:val="Hyperlink"/>
            <w:rFonts w:ascii="Gill Sans MT" w:hAnsi="Gill Sans MT" w:cs="Calibri"/>
            <w:sz w:val="22"/>
            <w:szCs w:val="24"/>
          </w:rPr>
          <w:t>https://planningpublicaccess.southdowns.gov.uk/online-applications/applicationDetails.do?activeTab=summary&amp;keyVal=TCVIJ8TUJNB00</w:t>
        </w:r>
      </w:hyperlink>
    </w:p>
    <w:p w14:paraId="35F14670" w14:textId="77777777" w:rsidR="00F34395" w:rsidRDefault="00F34395">
      <w:pPr>
        <w:rPr>
          <w:rFonts w:cs="Calibri"/>
          <w:sz w:val="22"/>
          <w:szCs w:val="24"/>
        </w:rPr>
      </w:pPr>
    </w:p>
    <w:p w14:paraId="042805BE" w14:textId="77777777" w:rsidR="00F34395" w:rsidRDefault="00F34395">
      <w:pPr>
        <w:rPr>
          <w:sz w:val="22"/>
          <w:szCs w:val="24"/>
        </w:rPr>
      </w:pPr>
    </w:p>
    <w:p w14:paraId="0E70EF57" w14:textId="77777777" w:rsidR="00F34395" w:rsidRDefault="00F34395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SDNP/26/01347/DCOND</w:t>
      </w:r>
    </w:p>
    <w:p w14:paraId="1D9AA19E" w14:textId="77777777" w:rsidR="00F34395" w:rsidRDefault="00F34395">
      <w:pPr>
        <w:rPr>
          <w:rFonts w:cs="Calibri"/>
          <w:sz w:val="22"/>
          <w:szCs w:val="24"/>
        </w:rPr>
      </w:pPr>
    </w:p>
    <w:p w14:paraId="5036E90A" w14:textId="77777777" w:rsidR="00F34395" w:rsidRDefault="00F34395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Discharge of Condition 3 (CEMP) for SDNP/25/02137/FUL.</w:t>
      </w:r>
    </w:p>
    <w:p w14:paraId="6596F8C6" w14:textId="77777777" w:rsidR="00F34395" w:rsidRDefault="00F34395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6BD2C375" w14:textId="77777777" w:rsidR="00F34395" w:rsidRDefault="00F34395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Hatch </w:t>
      </w:r>
      <w:proofErr w:type="gramStart"/>
      <w:r>
        <w:rPr>
          <w:sz w:val="22"/>
          <w:szCs w:val="24"/>
        </w:rPr>
        <w:t>Farm ,</w:t>
      </w:r>
      <w:proofErr w:type="gramEnd"/>
      <w:r>
        <w:rPr>
          <w:sz w:val="22"/>
          <w:szCs w:val="24"/>
        </w:rPr>
        <w:t xml:space="preserve"> Wheatsheaf Enclosure, Milland, West Sussex, GU30 7EL</w:t>
      </w:r>
    </w:p>
    <w:p w14:paraId="0FA13F31" w14:textId="77777777" w:rsidR="00F34395" w:rsidRDefault="00F34395">
      <w:pPr>
        <w:rPr>
          <w:sz w:val="22"/>
          <w:szCs w:val="24"/>
        </w:rPr>
      </w:pPr>
    </w:p>
    <w:p w14:paraId="3801ECA1" w14:textId="77777777" w:rsidR="00F34395" w:rsidRDefault="00F34395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 xml:space="preserve">  </w:t>
      </w:r>
      <w:r>
        <w:rPr>
          <w:rFonts w:cs="Calibri"/>
          <w:sz w:val="22"/>
          <w:szCs w:val="24"/>
        </w:rPr>
        <w:t>8 April 2026</w:t>
      </w:r>
      <w:r>
        <w:rPr>
          <w:sz w:val="22"/>
          <w:szCs w:val="24"/>
        </w:rPr>
        <w:tab/>
      </w: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14 April 2026No call in required. </w:t>
      </w:r>
    </w:p>
    <w:p w14:paraId="3CDFAE4F" w14:textId="77777777" w:rsidR="00F34395" w:rsidRDefault="00F34395">
      <w:pPr>
        <w:rPr>
          <w:sz w:val="22"/>
          <w:szCs w:val="24"/>
        </w:rPr>
      </w:pPr>
    </w:p>
    <w:p w14:paraId="6C2EF406" w14:textId="77777777" w:rsidR="00F34395" w:rsidRDefault="00F34395">
      <w:pPr>
        <w:rPr>
          <w:rFonts w:cs="Calibri"/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  <w:r>
        <w:rPr>
          <w:b/>
          <w:sz w:val="22"/>
          <w:szCs w:val="24"/>
        </w:rPr>
        <w:t>:</w:t>
      </w:r>
    </w:p>
    <w:p w14:paraId="60547686" w14:textId="77777777" w:rsidR="00F34395" w:rsidRDefault="00F34395">
      <w:pPr>
        <w:rPr>
          <w:sz w:val="22"/>
          <w:szCs w:val="24"/>
        </w:rPr>
      </w:pPr>
    </w:p>
    <w:p w14:paraId="2353E5B2" w14:textId="77777777" w:rsidR="00F34395" w:rsidRDefault="00F34395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View the case on public access</w:t>
      </w:r>
    </w:p>
    <w:p w14:paraId="649FB088" w14:textId="77777777" w:rsidR="00F34395" w:rsidRDefault="00F34395">
      <w:pPr>
        <w:rPr>
          <w:rFonts w:cs="Calibri"/>
          <w:sz w:val="22"/>
          <w:szCs w:val="24"/>
        </w:rPr>
      </w:pPr>
      <w:hyperlink r:id="rId8" w:history="1">
        <w:r>
          <w:rPr>
            <w:rStyle w:val="Hyperlink"/>
            <w:rFonts w:ascii="Gill Sans MT" w:hAnsi="Gill Sans MT" w:cs="Gill Sans MT"/>
            <w:sz w:val="22"/>
            <w:szCs w:val="24"/>
          </w:rPr>
          <w:t>https://planningpublicaccess.southdowns.gov.uk/online-applications/applicationDetails.do?activeTab=summary&amp;keyVal=TD4GOZTUJOP00</w:t>
        </w:r>
      </w:hyperlink>
    </w:p>
    <w:p w14:paraId="5D444D90" w14:textId="77777777" w:rsidR="00F34395" w:rsidRDefault="00F34395">
      <w:pPr>
        <w:rPr>
          <w:sz w:val="22"/>
          <w:szCs w:val="24"/>
        </w:rPr>
      </w:pPr>
    </w:p>
    <w:p w14:paraId="20606654" w14:textId="77777777" w:rsidR="00F34395" w:rsidRDefault="00F34395">
      <w:pPr>
        <w:rPr>
          <w:rFonts w:cs="Calibri"/>
          <w:sz w:val="22"/>
          <w:szCs w:val="24"/>
        </w:rPr>
      </w:pPr>
    </w:p>
    <w:p w14:paraId="2D427644" w14:textId="77777777" w:rsidR="00F34395" w:rsidRDefault="00F34395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SDNP/26/01396/DCOND</w:t>
      </w:r>
    </w:p>
    <w:p w14:paraId="69BFC8B2" w14:textId="77777777" w:rsidR="00F34395" w:rsidRDefault="00F34395">
      <w:pPr>
        <w:rPr>
          <w:sz w:val="22"/>
          <w:szCs w:val="24"/>
        </w:rPr>
      </w:pPr>
    </w:p>
    <w:p w14:paraId="7D834521" w14:textId="77777777" w:rsidR="00F34395" w:rsidRDefault="00F34395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Conditions 5 (CEMP) and 13 (Remediation Strategy) for SDNP/21/02342/FUL</w:t>
      </w:r>
    </w:p>
    <w:p w14:paraId="2FFFF57B" w14:textId="77777777" w:rsidR="00F34395" w:rsidRDefault="00F34395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09793825" w14:textId="77777777" w:rsidR="00F34395" w:rsidRDefault="00F34395">
      <w:pPr>
        <w:rPr>
          <w:sz w:val="22"/>
          <w:szCs w:val="24"/>
        </w:rPr>
      </w:pPr>
      <w:proofErr w:type="spellStart"/>
      <w:r>
        <w:rPr>
          <w:rFonts w:cs="Calibri"/>
          <w:sz w:val="22"/>
          <w:szCs w:val="24"/>
        </w:rPr>
        <w:t>Exceat</w:t>
      </w:r>
      <w:proofErr w:type="spellEnd"/>
      <w:r>
        <w:rPr>
          <w:rFonts w:cs="Calibri"/>
          <w:sz w:val="22"/>
          <w:szCs w:val="24"/>
        </w:rPr>
        <w:t xml:space="preserve"> Bridge, Eastbourne Road, </w:t>
      </w:r>
      <w:proofErr w:type="spellStart"/>
      <w:r>
        <w:rPr>
          <w:rFonts w:cs="Calibri"/>
          <w:sz w:val="22"/>
          <w:szCs w:val="24"/>
        </w:rPr>
        <w:t>Exceat</w:t>
      </w:r>
      <w:proofErr w:type="spellEnd"/>
      <w:r>
        <w:rPr>
          <w:rFonts w:cs="Calibri"/>
          <w:sz w:val="22"/>
          <w:szCs w:val="24"/>
        </w:rPr>
        <w:t>, East Sussex</w:t>
      </w:r>
    </w:p>
    <w:p w14:paraId="0A6B895C" w14:textId="77777777" w:rsidR="00F34395" w:rsidRDefault="00F34395">
      <w:pPr>
        <w:rPr>
          <w:rFonts w:cs="Calibri"/>
          <w:sz w:val="22"/>
          <w:szCs w:val="24"/>
        </w:rPr>
      </w:pPr>
    </w:p>
    <w:p w14:paraId="5A813E73" w14:textId="77777777" w:rsidR="00F34395" w:rsidRDefault="00F34395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13 April 2026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14 April 2026No call in required. </w:t>
      </w:r>
    </w:p>
    <w:p w14:paraId="2B45AC2D" w14:textId="77777777" w:rsidR="00F34395" w:rsidRDefault="00F34395">
      <w:pPr>
        <w:rPr>
          <w:rFonts w:cs="Calibri"/>
          <w:sz w:val="22"/>
          <w:szCs w:val="24"/>
        </w:rPr>
      </w:pPr>
    </w:p>
    <w:p w14:paraId="2AEB117E" w14:textId="77777777" w:rsidR="00F34395" w:rsidRDefault="00F34395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170ACBC5" w14:textId="77777777" w:rsidR="00F34395" w:rsidRDefault="00F34395">
      <w:pPr>
        <w:rPr>
          <w:rFonts w:cs="Calibri"/>
          <w:sz w:val="22"/>
          <w:szCs w:val="24"/>
        </w:rPr>
      </w:pPr>
    </w:p>
    <w:p w14:paraId="1437F280" w14:textId="77777777" w:rsidR="00F34395" w:rsidRDefault="00F34395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View the case on public access</w:t>
      </w:r>
    </w:p>
    <w:p w14:paraId="415ED93D" w14:textId="77777777" w:rsidR="00F34395" w:rsidRDefault="00F34395">
      <w:pPr>
        <w:rPr>
          <w:sz w:val="22"/>
          <w:szCs w:val="24"/>
        </w:rPr>
      </w:pPr>
      <w:hyperlink r:id="rId9" w:history="1">
        <w:r>
          <w:rPr>
            <w:rStyle w:val="Hyperlink"/>
            <w:rFonts w:ascii="Gill Sans MT" w:hAnsi="Gill Sans MT" w:cs="Calibri"/>
            <w:sz w:val="22"/>
            <w:szCs w:val="24"/>
          </w:rPr>
          <w:t>https://planningpublicaccess.southdowns.gov.uk/online-applications/applicationDetails.do?activeTab=summary&amp;keyVal=TD9PRRTUJRN00</w:t>
        </w:r>
      </w:hyperlink>
    </w:p>
    <w:p w14:paraId="6EC0D099" w14:textId="77777777" w:rsidR="00F34395" w:rsidRDefault="00F34395">
      <w:pPr>
        <w:rPr>
          <w:rFonts w:cs="Calibri"/>
          <w:sz w:val="22"/>
          <w:szCs w:val="24"/>
        </w:rPr>
      </w:pPr>
    </w:p>
    <w:p w14:paraId="760F7CCF" w14:textId="77777777" w:rsidR="00F34395" w:rsidRDefault="00F34395">
      <w:pPr>
        <w:rPr>
          <w:sz w:val="22"/>
          <w:szCs w:val="24"/>
        </w:rPr>
      </w:pPr>
    </w:p>
    <w:sectPr w:rsidR="00000000">
      <w:footerReference w:type="first" r:id="rId10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63C0D" w14:textId="77777777" w:rsidR="00F34395" w:rsidRDefault="00F34395">
      <w:r>
        <w:separator/>
      </w:r>
    </w:p>
  </w:endnote>
  <w:endnote w:type="continuationSeparator" w:id="0">
    <w:p w14:paraId="264AC656" w14:textId="77777777" w:rsidR="00F34395" w:rsidRDefault="00F34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0F726" w14:textId="77777777" w:rsidR="00F34395" w:rsidRDefault="00F34395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513EE" w14:textId="77777777" w:rsidR="00F34395" w:rsidRDefault="00F34395">
      <w:r>
        <w:separator/>
      </w:r>
    </w:p>
  </w:footnote>
  <w:footnote w:type="continuationSeparator" w:id="0">
    <w:p w14:paraId="52E9F94B" w14:textId="77777777" w:rsidR="00F34395" w:rsidRDefault="00F34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34395"/>
    <w:rsid w:val="00AC6166"/>
    <w:rsid w:val="00F3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086136"/>
  <w14:defaultImageDpi w14:val="0"/>
  <w15:docId w15:val="{58FB2208-C498-4D9B-8BD8-713A7F44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publicaccess.southdowns.gov.uk/online-applications/applicationDetails.do?activeTab=summary&amp;keyVal=TD4GOZTUJOP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nningpublicaccess.southdowns.gov.uk/online-applications/applicationDetails.do?activeTab=summary&amp;keyVal=TCVIJ8TUJNB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lanningpublicaccess.southdowns.gov.uk/online-applications/applicationDetails.do?activeTab=summary&amp;keyVal=TD9PRRTUJRN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1588</Characters>
  <Application>Microsoft Office Word</Application>
  <DocSecurity>0</DocSecurity>
  <Lines>88</Lines>
  <Paragraphs>58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Russell Pilfold</cp:lastModifiedBy>
  <cp:revision>2</cp:revision>
  <cp:lastPrinted>2011-05-06T08:56:00Z</cp:lastPrinted>
  <dcterms:created xsi:type="dcterms:W3CDTF">2026-04-14T08:04:00Z</dcterms:created>
  <dcterms:modified xsi:type="dcterms:W3CDTF">2026-04-14T08:04:00Z</dcterms:modified>
</cp:coreProperties>
</file>